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514E2" w14:textId="26DA4E3D" w:rsidR="00D520CA" w:rsidRPr="00BC7482" w:rsidRDefault="00200B38" w:rsidP="00BC7482">
      <w:pPr>
        <w:pStyle w:val="PCJtablelegend"/>
        <w:rPr>
          <w:b/>
        </w:rPr>
      </w:pPr>
      <w:r w:rsidRPr="00BC7482">
        <w:rPr>
          <w:b/>
        </w:rPr>
        <w:t>Table S</w:t>
      </w:r>
      <w:r w:rsidR="00281F55" w:rsidRPr="00BC7482">
        <w:rPr>
          <w:b/>
        </w:rPr>
        <w:t>1</w:t>
      </w:r>
      <w:r w:rsidR="00BC7482" w:rsidRPr="00BC7482">
        <w:rPr>
          <w:b/>
        </w:rPr>
        <w:t xml:space="preserve"> -</w:t>
      </w:r>
      <w:r w:rsidRPr="00BC7482">
        <w:rPr>
          <w:b/>
        </w:rPr>
        <w:t xml:space="preserve"> </w:t>
      </w:r>
      <w:r w:rsidR="00E26131" w:rsidRPr="00E26131">
        <w:rPr>
          <w:bCs/>
        </w:rPr>
        <w:t>Internal Standards used, Retention Time, LOD/LOQ and repeatability values for synthetic pesticides</w:t>
      </w:r>
    </w:p>
    <w:tbl>
      <w:tblPr>
        <w:tblW w:w="13942" w:type="dxa"/>
        <w:tblLook w:val="04A0" w:firstRow="1" w:lastRow="0" w:firstColumn="1" w:lastColumn="0" w:noHBand="0" w:noVBand="1"/>
      </w:tblPr>
      <w:tblGrid>
        <w:gridCol w:w="2694"/>
        <w:gridCol w:w="695"/>
        <w:gridCol w:w="760"/>
        <w:gridCol w:w="1080"/>
        <w:gridCol w:w="867"/>
        <w:gridCol w:w="1524"/>
        <w:gridCol w:w="2722"/>
        <w:gridCol w:w="1200"/>
        <w:gridCol w:w="1200"/>
        <w:gridCol w:w="1200"/>
      </w:tblGrid>
      <w:tr w:rsidR="00281F55" w:rsidRPr="00BC7482" w14:paraId="79803922" w14:textId="77777777" w:rsidTr="00384762">
        <w:trPr>
          <w:trHeight w:val="39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494F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3B49B" w14:textId="77777777" w:rsidR="00281F55" w:rsidRPr="00E26131" w:rsidRDefault="00281F55" w:rsidP="0038476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  <w:t>ISTD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44EDC" w14:textId="7088DB20" w:rsidR="00281F55" w:rsidRPr="00E26131" w:rsidRDefault="00384762" w:rsidP="0038476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  <w:t xml:space="preserve">   </w:t>
            </w:r>
            <w:r w:rsidR="00281F55"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  <w:t>RT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242BD" w14:textId="77777777" w:rsidR="00281F55" w:rsidRPr="00E26131" w:rsidRDefault="00281F55" w:rsidP="0038476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  <w:t>LOD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71DF4" w14:textId="77777777" w:rsidR="00281F55" w:rsidRPr="00E26131" w:rsidRDefault="00281F55" w:rsidP="0038476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  <w:t>LOQ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51CEB" w14:textId="55099799" w:rsidR="00281F55" w:rsidRPr="00E26131" w:rsidRDefault="00281F55" w:rsidP="0038476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  <w:t>Repeatability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31FD6" w14:textId="77777777" w:rsidR="00281F55" w:rsidRPr="00BC7482" w:rsidRDefault="00281F55" w:rsidP="0038476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944F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85523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6CE2B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3BBEA4A4" w14:textId="77777777" w:rsidTr="00384762">
        <w:trPr>
          <w:trHeight w:val="150"/>
        </w:trPr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1CD4AC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C748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17A61F" w14:textId="78A87C2D" w:rsidR="00281F55" w:rsidRPr="00E26131" w:rsidRDefault="00281F55" w:rsidP="0038476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4CD2B8" w14:textId="72B0BBDC" w:rsidR="00281F55" w:rsidRPr="00E26131" w:rsidRDefault="00281F55" w:rsidP="0038476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3CC66A" w14:textId="77777777" w:rsidR="00281F55" w:rsidRPr="00E26131" w:rsidRDefault="00281F55" w:rsidP="0038476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  <w:t>ng/g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94CE2B" w14:textId="77777777" w:rsidR="00281F55" w:rsidRPr="00E26131" w:rsidRDefault="00281F55" w:rsidP="0038476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  <w:t>ng/g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B5EC31" w14:textId="2320DA88" w:rsidR="00281F55" w:rsidRPr="00E26131" w:rsidRDefault="00281F55" w:rsidP="0038476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  <w:t>(</w:t>
            </w:r>
            <w:r w:rsidR="0008403E"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  <w:t xml:space="preserve">RSD </w:t>
            </w:r>
            <w:r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lang w:eastAsia="fr-FR"/>
              </w:rPr>
              <w:t>%)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2B97E" w14:textId="77777777" w:rsidR="00281F55" w:rsidRPr="00BC7482" w:rsidRDefault="00281F55" w:rsidP="00384762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2D842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F52B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5F2C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271166B6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E8D8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u w:val="single"/>
                <w:lang w:eastAsia="fr-FR"/>
              </w:rPr>
            </w:pPr>
            <w:r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u w:val="single"/>
                <w:lang w:eastAsia="fr-FR"/>
              </w:rPr>
              <w:t xml:space="preserve">Fungicides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761F7" w14:textId="77777777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5FCBF" w14:textId="77777777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E1830" w14:textId="77777777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29307" w14:textId="77777777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F1FC0" w14:textId="77777777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1E90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5C16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9830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491F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1DEFEE9D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E18C0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Ametoctradin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86647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a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8742D" w14:textId="051EDAA6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DE002" w14:textId="7F46EA6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7515E" w14:textId="6F286311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9562B" w14:textId="31142C0E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B935A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0B47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321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675BE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49ABF28A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1C8CA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Azoxystrobin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0B95D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3DF4D" w14:textId="688C4F63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A87DA" w14:textId="3371084B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AB234" w14:textId="54D08170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3400B" w14:textId="248685D1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CC6F4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95A2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37582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FEE0B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65EDE352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46A1A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Boscalid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75CB5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C6FDC" w14:textId="3CB5B2EF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182D" w14:textId="5181D6AC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8343D" w14:textId="37D62791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8E359" w14:textId="224A8BA1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6A958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B70E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7494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1F55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6FC8A5AF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69D07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Carbendazim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2F707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b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B8729" w14:textId="1B9FC1A9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CEB89" w14:textId="3F6BE110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4D716" w14:textId="00174428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4B8C" w14:textId="351D90FC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B0A8F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0DB7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0B4C2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33D6F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5AE8BBDC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92D05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Cyflufenamid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2229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856C8" w14:textId="74DB1509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63954" w14:textId="3777C381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24354" w14:textId="30894920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DB200" w14:textId="7BC653A2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28497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55F7B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EE9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9E8E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26D0A3D6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BCDE0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Cyproconazole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5D3E2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3FD8" w14:textId="06950740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42AE5" w14:textId="2934E2B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E6816" w14:textId="73B68B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BE61D" w14:textId="5D53F2E6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7C360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EF6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203E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B8595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4690B64C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A0237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Cyprodinil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B7AB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A0419" w14:textId="4F2A8BC5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BF8EB" w14:textId="0978CF44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90DEF" w14:textId="6CBE70CA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87D5D" w14:textId="6FDC5269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E3612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D2FDA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1737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7A20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05B2CDDB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58D4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Diéthofencarb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280FB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AC6FE" w14:textId="5FE81975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0E5BF" w14:textId="4A488FA3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ACABF" w14:textId="136A56E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0CCB0" w14:textId="528304EA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96AD5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440A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00C6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8697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6F7D929E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FF2F2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Difenoconazole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80415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16F1F" w14:textId="182BF09C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0DBC4" w14:textId="4D70707E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BD06F" w14:textId="0C792B4C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8112F" w14:textId="5944D0DF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81045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4D28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D4602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380B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606E9DA8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EA2B2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Dimethomorph*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464B4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7FF4B" w14:textId="712698C6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9B90A" w14:textId="0AD3D2CB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C7179" w14:textId="72C46995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A1BAD" w14:textId="25B036D7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4AB44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B2D5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82493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FE26F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3F4D56CF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30E00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Fenbuconazole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CD2EB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4EB3" w14:textId="22A53BBA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BEDE3" w14:textId="39071D0F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1F488" w14:textId="574E824B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EE1CC" w14:textId="0B4AD774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9012A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68A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0823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092D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3A925069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818D8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Fenhexamid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DE18B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291DA" w14:textId="7648D110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21184" w14:textId="49A44DCD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CD12" w14:textId="066C0B78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5F665" w14:textId="046279E6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A45C6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3A8E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3760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357F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3FB17423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39008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Fludioxonil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94C1C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d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9B9C5" w14:textId="68FED024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88E1D" w14:textId="6B7C9BCB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0B652" w14:textId="6F1BC7B3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F1BB7" w14:textId="1A0F69CE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71099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A49B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BC525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6F99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309081E7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14699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Fluopicolide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E13EE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F5BB7" w14:textId="2292C311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E558C" w14:textId="343AFCCA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49C13" w14:textId="73C96EF6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451EF" w14:textId="128E2F42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7E6CF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E7AC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7F2A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43DB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69D15017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44E77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Fluopyram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2F304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19461" w14:textId="6815D5AE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6225C" w14:textId="06D95FF1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0E417" w14:textId="7A1C8580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AF076" w14:textId="6710E4D3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7E237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E41DA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13B4A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C395C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3E7A4EF7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A821C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Flusilazole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E3A66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326CE" w14:textId="172F529C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49F2D" w14:textId="24080748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B6261" w14:textId="60A295CA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A05B1" w14:textId="736BF797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94B10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19715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DB42E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6215B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4BA98DB9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42854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Hexaconazole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C0D1B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FC8E9" w14:textId="5F1A9C5D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B4F1C" w14:textId="2638C518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6D56A" w14:textId="4819B5F9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62118" w14:textId="12F87648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06A8A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3FB4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C007A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B23CF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378A44E6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EBDA9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Imazalil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ED2DD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C334B" w14:textId="4DCFE320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870E6" w14:textId="00C43CAA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031A7" w14:textId="5E32A4CD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D9514" w14:textId="2742B543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D100E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DE99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70D1C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EE16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0DF30E22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1F788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Iprovalicarb*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1FD49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ED467" w14:textId="7443BE24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74910" w14:textId="399F41E3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AB5E5" w14:textId="3FEF12F3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0C5D2" w14:textId="6AC0E114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1C289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0D2EC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8505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F2B0B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35F9C8C9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1DD42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Mandipropamid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1FB93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D24FF" w14:textId="6664789E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1285F" w14:textId="7F773AF4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6A743" w14:textId="38FCDEA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BC4FA" w14:textId="078A0BDE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08C99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ECB5C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C52F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106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01271F4D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8958C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Metalaxyl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DF420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B486A" w14:textId="5ABF99A5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5EDB7" w14:textId="6A124F4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D4BD7" w14:textId="31F92E75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34015" w14:textId="7BE369CE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E62B0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CB39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14293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3E223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2DF050C3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8847E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Metrafenone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FC677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DAFB9" w14:textId="7ACF4BF8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17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B4D03" w14:textId="5B4C7351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628DB" w14:textId="183598E4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A3F4F" w14:textId="6E399F28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BAD2B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EFAA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29CB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7C8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29C3F3C0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71D22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Prochloraz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58873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0A195" w14:textId="227B933A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3A9FF" w14:textId="1B5ABF61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D5F73" w14:textId="78970864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38104" w14:textId="4336C6E5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93FCF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1BB6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DF6D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2787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7CA55C6E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ADF05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Pyraclostrobin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AAD96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24D7A" w14:textId="6B7FFC8D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1013" w14:textId="6CD5C43D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C58B6" w14:textId="3DA6D27F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ED40" w14:textId="6CFEAC59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18465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0EFDB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E843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416A5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0F32F24B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D368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Pyrimethanil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628E7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C03F3" w14:textId="47201DB2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07FE8" w14:textId="05D1D295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7C038" w14:textId="5205B51A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17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6157C" w14:textId="134A51B7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31A87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D76C5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2599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35FE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73E31268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5E4C3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Spiroxamine*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5EB8D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A4A7A" w14:textId="5ED32CB1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80463" w14:textId="03A3F7D1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D0A2E" w14:textId="36CD2B9F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C53BD" w14:textId="7EE07745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19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54903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EB94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6B3AF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00CA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76C25D37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6157E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Tebuconazole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36A66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5ACE9" w14:textId="77AF2EB3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74906" w14:textId="7E7DAF7D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957FA" w14:textId="5712519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0E1C4" w14:textId="7414AC30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21523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1C025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542E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379BF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7C976143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EF61A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Thiophanate-methyl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4054F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C7494" w14:textId="29911A01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1132E" w14:textId="01161E4E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99525" w14:textId="23E40F3A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B6038" w14:textId="5FBC06AE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70B87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202F2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F40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8880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004FB293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B36AF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Triadimenol*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DAE6A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9065A" w14:textId="387A64D7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58F79" w14:textId="7714B3D9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DFAA2" w14:textId="0E5BA270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50559" w14:textId="1F6CDE8E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B01C6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FC5A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D438C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52315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3E956AAD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271FE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Trifloxystrobin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BE6C9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14FC6" w14:textId="3009B47C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17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5AAA" w14:textId="4D5EE0EA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908BF" w14:textId="0112D0D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14AD3" w14:textId="74FB53B7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04669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A081A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5C51B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779B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78C11CB6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A38BB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Zoxamide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F1528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B745B" w14:textId="4C9045B3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B6BD9" w14:textId="7A9B39AF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544CA" w14:textId="2D458BF1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CD4E0" w14:textId="5852D14D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F4089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B933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BC82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B315A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232AB5C2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77C36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u w:val="single"/>
                <w:lang w:eastAsia="fr-FR"/>
              </w:rPr>
            </w:pPr>
            <w:r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u w:val="single"/>
                <w:lang w:eastAsia="fr-FR"/>
              </w:rPr>
              <w:t>Insecticides / Acaricides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4F477" w14:textId="77777777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352B2" w14:textId="77777777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84BDC" w14:textId="77777777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2FE8E" w14:textId="77777777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C59F0" w14:textId="77777777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3298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DC62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7043C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A2B4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3391DBBE" w14:textId="77777777" w:rsidTr="00384762">
        <w:trPr>
          <w:trHeight w:val="300"/>
        </w:trPr>
        <w:tc>
          <w:tcPr>
            <w:tcW w:w="33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B9617" w14:textId="5ACD9F8E" w:rsidR="00281F55" w:rsidRPr="00E26131" w:rsidRDefault="00281F55" w:rsidP="00E26131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DMF (amitraz metabolite)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9B630" w14:textId="77777777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11,4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F345E" w14:textId="004ED33E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8C753" w14:textId="14B3284B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39870" w14:textId="60424522" w:rsidR="00281F55" w:rsidRPr="00E26131" w:rsidRDefault="00281F55" w:rsidP="00E26131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BDFFE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D154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5FDF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CB6E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0139E277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7CC5B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Acetamiprid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7B213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755DA" w14:textId="181C2DDA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54298" w14:textId="07EAB0C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8961D" w14:textId="7A3187E4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3A8A7" w14:textId="375CD46E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A11DE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C4D95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9487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DB01C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5D65A665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19CDD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Buprofezin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B9584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3B605" w14:textId="782069F3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18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A9D81" w14:textId="652B516F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46D6" w14:textId="2E87DBDA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F6C04" w14:textId="765652F3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F9AFD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9A4F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756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6591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694E2EC8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D4A15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Chlorantraniliprole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FD5DA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BFE4F" w14:textId="2033F1A4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80F0B" w14:textId="75AFD704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5D383" w14:textId="13CE5745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04378" w14:textId="2AA11284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4E9A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9351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6E10A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4182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26AF81EC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5A079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Clofentezine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2F6E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A50F9" w14:textId="19A5165C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13B45" w14:textId="50B96218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BA599" w14:textId="3D03E63A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CCF1F" w14:textId="063181C5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19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2D1B9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46A9E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B030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FA592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29A66C34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7F0D5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Clothianidin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EFAC3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6ED72" w14:textId="66E22B10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009C0" w14:textId="0A64F27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2F4B3" w14:textId="1F37DF85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24ABA" w14:textId="7280C500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70EE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E0625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E8F4F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CA9AF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7D4DBD8C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1C142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Coumaphos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FEDED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754C5" w14:textId="4E7C1F1B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BE1D6" w14:textId="55A119D9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3812C" w14:textId="07D8070D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F31D4" w14:textId="782FC196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75860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623DB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A5F4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4FA2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7A0A7A40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DAF14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Cymiazol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2589F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EBB1B" w14:textId="5A786A18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CD181" w14:textId="69195DFC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DFB69" w14:textId="258FE566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2B1CD" w14:textId="36096F2B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BEA54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95EB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3C09E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125F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732A0C7C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0DD76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lastRenderedPageBreak/>
              <w:t xml:space="preserve">Dimethoate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CED94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32E64" w14:textId="001FEEC3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942F" w14:textId="726B14D8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B175" w14:textId="03DFEF84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09BF1" w14:textId="7996AAEE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B1622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D0F4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043F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BB8B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0DF311B2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DE03E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Fipronil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07348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352F2" w14:textId="666ABFD9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1D3D3" w14:textId="7639B22A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80B31" w14:textId="0433AD1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1F97E" w14:textId="40995CAB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D346F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1621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DB99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4D102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746C6C48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A9695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Imidacloprid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F9F74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5105E" w14:textId="4082E20D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196D9" w14:textId="08C98415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50595" w14:textId="716DA539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FD9F" w14:textId="3CFF9E16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58418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9639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D52CC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E1A8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348E8AD3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2EBAE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Malathion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87735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215FB" w14:textId="557C498E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1FD0D" w14:textId="627E2BC1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59E68" w14:textId="3F5334D1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AEEF3" w14:textId="7B43F8E1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D9ACC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58A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EE23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8598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037C9D43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0813D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Methiocarb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AF108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D7AA6" w14:textId="67FA2B9B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71BBA" w14:textId="41864E78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F9E37" w14:textId="55CCC96D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57055" w14:textId="4F19FBC6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34A3D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3EC7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25C3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816BA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6E34F19D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9D5F3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Methoxyfenozide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1B77A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e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881E2" w14:textId="572405D8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BAEA5" w14:textId="6DA3FAD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7A703" w14:textId="3A948D2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F0B57" w14:textId="7494D2C2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2B5A4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F0E6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3EC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9D6DF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13142967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6149E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Tebufenozide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1992F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e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E8B3A" w14:textId="4EAAC933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FE831" w14:textId="4C28310E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B7B85" w14:textId="2F0C0FD9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28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E4E05" w14:textId="3CB0C138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3F234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F8D4F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CD01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D0C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509359F4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5166F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Thiacloprid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A54C7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30F76" w14:textId="3EFE97D5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51269" w14:textId="30C5FABF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0193E" w14:textId="193A231C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523DB" w14:textId="4DCE2F6B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D7B92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A894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1183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B1BB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25CCD4D2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EC600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Thiametoxam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EB81B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9AFF0" w14:textId="2099C3D7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F52A4" w14:textId="4365F901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25038" w14:textId="56546D5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C4ABC" w14:textId="3B83ECE1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BF8B2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09BCE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6113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E591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50562161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D53BB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Thiodicarb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205CD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54D49" w14:textId="1772834E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2ABC2" w14:textId="426B0E75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3FAD5" w14:textId="1B0D82E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A908C" w14:textId="19A17902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83C87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6CFA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8ED85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CD57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10F42E42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B567D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Synergist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1C17E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8CE93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9A20A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A1BCB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9237F" w14:textId="77777777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3966E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EC4E3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2AE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E198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7AA05C3C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F49A3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Piperonyl butoxid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89369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BE889" w14:textId="7CA7FE01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17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47B86" w14:textId="49B2172A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3C6E1" w14:textId="4BB65535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181AD" w14:textId="0247FF48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89ED0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19103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51F3E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C70CE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342AF6B1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F5BFC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u w:val="single"/>
                <w:lang w:eastAsia="fr-FR"/>
              </w:rPr>
            </w:pPr>
            <w:r w:rsidRPr="00E26131">
              <w:rPr>
                <w:rFonts w:ascii="Arial" w:eastAsia="Times New Roman" w:hAnsi="Arial" w:cs="Arial"/>
                <w:b/>
                <w:bCs/>
                <w:noProof/>
                <w:sz w:val="21"/>
                <w:szCs w:val="24"/>
                <w:u w:val="single"/>
                <w:lang w:eastAsia="fr-FR"/>
              </w:rPr>
              <w:t>Herbicides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8CBDC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16D65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E978E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F096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287B3" w14:textId="77777777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CDCBB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CD1C5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83242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CD09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04A0F3DF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6A2DD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Atrazine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2EBD4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DDB17" w14:textId="3AD28A7A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AC83C" w14:textId="2A3143F9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09F8F" w14:textId="67E092BD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5EADE" w14:textId="64317F30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7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03027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3F20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9CB2A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006B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4622B74F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8742D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Desethyl-atrazine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DA4BD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59796" w14:textId="6580DED8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546C8" w14:textId="2E3FB0F1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95912" w14:textId="654A1B75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EF64" w14:textId="59F8ECB3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8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E9FBB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2789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9006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1A7E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4CCFDE95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F379A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 xml:space="preserve">Diuron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4E9FB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1369F" w14:textId="5CF7A55C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955F1" w14:textId="57B02F1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2D2D8" w14:textId="3B158379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F8F92" w14:textId="0F07A7C7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3AB7B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668C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8F30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0628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61F20B03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ACD5F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Linuron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5AE26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6AC37" w14:textId="58FD80D4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98D9A" w14:textId="20DC23AC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A1BB2" w14:textId="1FEF6699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51D4" w14:textId="301C96BB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12DE0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9A78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C552F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CCAEF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07DAE919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D6A47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Metolachlor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2E6C2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B6675" w14:textId="512E5610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6895F" w14:textId="5247C60D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0C685" w14:textId="75302283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CC151" w14:textId="38B66226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13AF0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EBBFE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EB89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C7756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634C8EA2" w14:textId="77777777" w:rsidTr="00384762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D292A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Terbuthylazine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11C3C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4D387" w14:textId="7AA138AC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3E8E9" w14:textId="5245E3D2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B310C" w14:textId="1FFB4410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5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583AF" w14:textId="0A279AA2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10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9A0BF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8A6DE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6403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9F583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57416848" w14:textId="77777777" w:rsidTr="00384762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08DA5C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Desethyl-terbuthylazine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ADB869" w14:textId="77777777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a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888ECD" w14:textId="0E715B15" w:rsidR="00281F55" w:rsidRPr="00E26131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12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DB35A6" w14:textId="363B055A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A5FFB7" w14:textId="3DCF2C55" w:rsidR="00281F55" w:rsidRPr="00E26131" w:rsidRDefault="00281F55" w:rsidP="00281F55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3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6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4FE43A" w14:textId="0C39ECE9" w:rsidR="00281F55" w:rsidRPr="00E26131" w:rsidRDefault="00281F55" w:rsidP="00BC7482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4</w:t>
            </w:r>
            <w:r w:rsidR="002B00E8"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.</w:t>
            </w:r>
            <w:r w:rsidRPr="00E26131"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  <w:t>9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34942" w14:textId="77777777" w:rsidR="00281F55" w:rsidRPr="00BC7482" w:rsidRDefault="00281F55" w:rsidP="00281F5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E27B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58C6A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8938E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0ED6AC64" w14:textId="77777777" w:rsidTr="00384762">
        <w:trPr>
          <w:trHeight w:val="15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A66C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4B05C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EA6BF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FB86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1A75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DE510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96797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7B7F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A3E39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1FE54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BC7482" w14:paraId="51908C49" w14:textId="77777777" w:rsidTr="00384762">
        <w:trPr>
          <w:trHeight w:val="300"/>
        </w:trPr>
        <w:tc>
          <w:tcPr>
            <w:tcW w:w="76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40BB4" w14:textId="77777777" w:rsidR="00BC7482" w:rsidRPr="00BC7482" w:rsidRDefault="00BC7482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  <w:r w:rsidRPr="00BC7482">
              <w:rPr>
                <w:rFonts w:ascii="Arial" w:eastAsia="Times New Roman" w:hAnsi="Arial" w:cs="Arial"/>
                <w:sz w:val="16"/>
                <w:szCs w:val="16"/>
              </w:rPr>
              <w:t>*: mixture of isomers</w:t>
            </w:r>
          </w:p>
          <w:p w14:paraId="7B15782C" w14:textId="7856EBE1" w:rsidR="0008403E" w:rsidRPr="00BC7482" w:rsidRDefault="0008403E" w:rsidP="00281F55">
            <w:pPr>
              <w:spacing w:after="0"/>
              <w:rPr>
                <w:rFonts w:ascii="Arial" w:eastAsia="Times New Roman" w:hAnsi="Arial" w:cs="Arial"/>
                <w:noProof/>
                <w:sz w:val="16"/>
                <w:szCs w:val="16"/>
              </w:rPr>
            </w:pPr>
            <w:r w:rsidRPr="00BC7482">
              <w:rPr>
                <w:rFonts w:ascii="Arial" w:eastAsia="Times New Roman" w:hAnsi="Arial" w:cs="Arial"/>
                <w:noProof/>
                <w:sz w:val="16"/>
                <w:szCs w:val="16"/>
              </w:rPr>
              <w:t xml:space="preserve">Internal standards: a, triphenylphosphate; b, carbendazim-d4; c, </w:t>
            </w:r>
            <w:r w:rsidR="00C73226" w:rsidRPr="00BC7482">
              <w:rPr>
                <w:rFonts w:ascii="Arial" w:eastAsia="Times New Roman" w:hAnsi="Arial" w:cs="Arial"/>
                <w:noProof/>
                <w:sz w:val="16"/>
                <w:szCs w:val="16"/>
              </w:rPr>
              <w:t>tebuconazole-d6, d, fludioxonil-13C2, e, tebufenozide-d9</w:t>
            </w:r>
          </w:p>
          <w:p w14:paraId="1B115A4A" w14:textId="7BAA8C22" w:rsidR="00281F55" w:rsidRPr="00BC7482" w:rsidRDefault="009C303C" w:rsidP="00281F55">
            <w:pPr>
              <w:spacing w:after="0"/>
              <w:rPr>
                <w:rFonts w:ascii="Arial" w:eastAsia="Times New Roman" w:hAnsi="Arial" w:cs="Arial"/>
                <w:noProof/>
                <w:sz w:val="16"/>
                <w:szCs w:val="16"/>
              </w:rPr>
            </w:pPr>
            <w:r w:rsidRPr="007F2C50">
              <w:rPr>
                <w:rFonts w:ascii="Arial" w:eastAsia="Times New Roman" w:hAnsi="Arial" w:cs="Arial"/>
                <w:sz w:val="16"/>
                <w:szCs w:val="16"/>
              </w:rPr>
              <w:t>LOD/LOQ: concentrations corresponding to S/N ratio of 3 and 10 respectively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1765E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6B171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05DB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7792D" w14:textId="77777777" w:rsidR="00281F55" w:rsidRPr="00BC7482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281F55" w:rsidRPr="00E26131" w14:paraId="49B2C791" w14:textId="77777777" w:rsidTr="00384762">
        <w:trPr>
          <w:trHeight w:val="300"/>
        </w:trPr>
        <w:tc>
          <w:tcPr>
            <w:tcW w:w="1034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5FAFA" w14:textId="5B37BDFB" w:rsidR="00281F55" w:rsidRPr="009C303C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  <w:r w:rsidRPr="009C303C">
              <w:rPr>
                <w:rFonts w:ascii="Arial" w:eastAsia="Times New Roman" w:hAnsi="Arial" w:cs="Arial"/>
                <w:sz w:val="16"/>
                <w:szCs w:val="16"/>
              </w:rPr>
              <w:t xml:space="preserve">Repeatability : mean of the </w:t>
            </w:r>
            <w:r w:rsidR="0008403E" w:rsidRPr="009C303C">
              <w:rPr>
                <w:rFonts w:ascii="Arial" w:eastAsia="Times New Roman" w:hAnsi="Arial" w:cs="Arial"/>
                <w:sz w:val="16"/>
                <w:szCs w:val="16"/>
              </w:rPr>
              <w:t>relative standard deviation</w:t>
            </w:r>
            <w:r w:rsidRPr="009C303C">
              <w:rPr>
                <w:rFonts w:ascii="Arial" w:eastAsia="Times New Roman" w:hAnsi="Arial" w:cs="Arial"/>
                <w:sz w:val="16"/>
                <w:szCs w:val="16"/>
              </w:rPr>
              <w:t xml:space="preserve"> (</w:t>
            </w:r>
            <w:r w:rsidR="0008403E" w:rsidRPr="009C303C">
              <w:rPr>
                <w:rFonts w:ascii="Arial" w:eastAsia="Times New Roman" w:hAnsi="Arial" w:cs="Arial"/>
                <w:sz w:val="16"/>
                <w:szCs w:val="16"/>
              </w:rPr>
              <w:t>RSD</w:t>
            </w:r>
            <w:r w:rsidRPr="009C303C">
              <w:rPr>
                <w:rFonts w:ascii="Arial" w:eastAsia="Times New Roman" w:hAnsi="Arial" w:cs="Arial"/>
                <w:sz w:val="16"/>
                <w:szCs w:val="16"/>
              </w:rPr>
              <w:t>) of 3 replicates (9 samples)</w:t>
            </w:r>
          </w:p>
          <w:p w14:paraId="3AE406D4" w14:textId="77777777" w:rsidR="00281F55" w:rsidRPr="009C303C" w:rsidRDefault="00281F55" w:rsidP="00281F55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B8C9559" w14:textId="175EB4C7" w:rsidR="00281F55" w:rsidRDefault="00281F55" w:rsidP="00BC7482">
            <w:pPr>
              <w:pStyle w:val="PCJtablelegend"/>
              <w:rPr>
                <w:rFonts w:cs="Arial"/>
                <w:color w:val="auto"/>
                <w:sz w:val="21"/>
              </w:rPr>
            </w:pPr>
          </w:p>
          <w:p w14:paraId="2749F35D" w14:textId="77777777" w:rsidR="00E26131" w:rsidRPr="00E26131" w:rsidRDefault="00E26131" w:rsidP="00E26131">
            <w:pPr>
              <w:rPr>
                <w:lang w:eastAsia="fr-FR"/>
              </w:rPr>
            </w:pPr>
          </w:p>
          <w:p w14:paraId="58E6B746" w14:textId="44ED2A73" w:rsidR="00281F55" w:rsidRPr="00E26131" w:rsidRDefault="00E26131" w:rsidP="00E26131">
            <w:pPr>
              <w:pStyle w:val="PCJtablelegend"/>
              <w:rPr>
                <w:bCs/>
              </w:rPr>
            </w:pPr>
            <w:bookmarkStart w:id="0" w:name="_Hlk214870878"/>
            <w:r w:rsidRPr="00E26131">
              <w:rPr>
                <w:b/>
              </w:rPr>
              <w:t xml:space="preserve">Table S2 </w:t>
            </w:r>
            <w:r w:rsidRPr="00E26131">
              <w:rPr>
                <w:bCs/>
              </w:rPr>
              <w:t>- Wave lengths used for the analysis of elements by ICP-AES (A) and Isotopes and mode used for the analysis of trace elements by ICP-MS (B)</w:t>
            </w:r>
          </w:p>
          <w:tbl>
            <w:tblPr>
              <w:tblW w:w="85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7"/>
              <w:gridCol w:w="1881"/>
              <w:gridCol w:w="80"/>
              <w:gridCol w:w="285"/>
              <w:gridCol w:w="334"/>
              <w:gridCol w:w="961"/>
              <w:gridCol w:w="457"/>
              <w:gridCol w:w="424"/>
              <w:gridCol w:w="993"/>
              <w:gridCol w:w="850"/>
            </w:tblGrid>
            <w:tr w:rsidR="00E26131" w:rsidRPr="00E26131" w14:paraId="477643B7" w14:textId="77777777" w:rsidTr="00E26131">
              <w:trPr>
                <w:trHeight w:hRule="exact" w:val="284"/>
                <w:tblHeader/>
                <w:tblCellSpacing w:w="15" w:type="dxa"/>
              </w:trPr>
              <w:tc>
                <w:tcPr>
                  <w:tcW w:w="2232" w:type="dxa"/>
                  <w:tcBorders>
                    <w:bottom w:val="single" w:sz="12" w:space="0" w:color="auto"/>
                  </w:tcBorders>
                </w:tcPr>
                <w:bookmarkEnd w:id="0"/>
                <w:p w14:paraId="54119FC1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  <w:t>A</w:t>
                  </w:r>
                </w:p>
              </w:tc>
              <w:tc>
                <w:tcPr>
                  <w:tcW w:w="1851" w:type="dxa"/>
                  <w:tcBorders>
                    <w:bottom w:val="single" w:sz="12" w:space="0" w:color="auto"/>
                  </w:tcBorders>
                </w:tcPr>
                <w:p w14:paraId="432A9A09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50" w:type="dxa"/>
                  <w:vAlign w:val="center"/>
                </w:tcPr>
                <w:p w14:paraId="54642CD3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255" w:type="dxa"/>
                  <w:vAlign w:val="center"/>
                </w:tcPr>
                <w:p w14:paraId="22188786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04" w:type="dxa"/>
                </w:tcPr>
                <w:p w14:paraId="2213F699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1388" w:type="dxa"/>
                  <w:gridSpan w:val="2"/>
                  <w:vAlign w:val="center"/>
                </w:tcPr>
                <w:p w14:paraId="72E81A07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  <w:t>B</w:t>
                  </w:r>
                </w:p>
              </w:tc>
              <w:tc>
                <w:tcPr>
                  <w:tcW w:w="394" w:type="dxa"/>
                </w:tcPr>
                <w:p w14:paraId="4D3B8590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963" w:type="dxa"/>
                  <w:vAlign w:val="center"/>
                </w:tcPr>
                <w:p w14:paraId="7F7FCB70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805" w:type="dxa"/>
                  <w:vAlign w:val="center"/>
                </w:tcPr>
                <w:p w14:paraId="64AC77A1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</w:tr>
            <w:tr w:rsidR="00E26131" w:rsidRPr="00E26131" w14:paraId="4586EA60" w14:textId="77777777" w:rsidTr="00E26131">
              <w:trPr>
                <w:trHeight w:hRule="exact" w:val="396"/>
                <w:tblHeader/>
                <w:tblCellSpacing w:w="15" w:type="dxa"/>
              </w:trPr>
              <w:tc>
                <w:tcPr>
                  <w:tcW w:w="2232" w:type="dxa"/>
                  <w:tcBorders>
                    <w:bottom w:val="single" w:sz="12" w:space="0" w:color="auto"/>
                  </w:tcBorders>
                </w:tcPr>
                <w:p w14:paraId="1F10905C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  <w:t>Element</w:t>
                  </w:r>
                </w:p>
              </w:tc>
              <w:tc>
                <w:tcPr>
                  <w:tcW w:w="1851" w:type="dxa"/>
                  <w:tcBorders>
                    <w:bottom w:val="single" w:sz="12" w:space="0" w:color="auto"/>
                  </w:tcBorders>
                </w:tcPr>
                <w:p w14:paraId="597EDAD5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  <w:t>Wave length (nm)</w:t>
                  </w:r>
                </w:p>
              </w:tc>
              <w:tc>
                <w:tcPr>
                  <w:tcW w:w="50" w:type="dxa"/>
                  <w:vAlign w:val="center"/>
                </w:tcPr>
                <w:p w14:paraId="729E0D2B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255" w:type="dxa"/>
                  <w:vAlign w:val="center"/>
                </w:tcPr>
                <w:p w14:paraId="346C2B20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04" w:type="dxa"/>
                </w:tcPr>
                <w:p w14:paraId="34BF31E2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1388" w:type="dxa"/>
                  <w:gridSpan w:val="2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25E97AFA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  <w:t>Element</w:t>
                  </w:r>
                </w:p>
              </w:tc>
              <w:tc>
                <w:tcPr>
                  <w:tcW w:w="394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091F946D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963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1B8DD7A4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  <w:t>Isotope</w:t>
                  </w:r>
                </w:p>
              </w:tc>
              <w:tc>
                <w:tcPr>
                  <w:tcW w:w="805" w:type="dxa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14:paraId="2B967157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b/>
                      <w:bCs/>
                      <w:noProof/>
                      <w:sz w:val="21"/>
                      <w:szCs w:val="24"/>
                      <w:lang w:eastAsia="fr-FR"/>
                    </w:rPr>
                    <w:t>Mode</w:t>
                  </w:r>
                </w:p>
              </w:tc>
            </w:tr>
            <w:tr w:rsidR="00E26131" w:rsidRPr="00E26131" w14:paraId="3FF23FDC" w14:textId="77777777" w:rsidTr="00E26131">
              <w:trPr>
                <w:trHeight w:hRule="exact" w:val="284"/>
                <w:tblCellSpacing w:w="15" w:type="dxa"/>
              </w:trPr>
              <w:tc>
                <w:tcPr>
                  <w:tcW w:w="2232" w:type="dxa"/>
                </w:tcPr>
                <w:p w14:paraId="63DA418F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Aluminium</w:t>
                  </w:r>
                </w:p>
              </w:tc>
              <w:tc>
                <w:tcPr>
                  <w:tcW w:w="1851" w:type="dxa"/>
                </w:tcPr>
                <w:p w14:paraId="4711FF3D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396.152</w:t>
                  </w:r>
                </w:p>
              </w:tc>
              <w:tc>
                <w:tcPr>
                  <w:tcW w:w="50" w:type="dxa"/>
                  <w:vAlign w:val="center"/>
                </w:tcPr>
                <w:p w14:paraId="18799D68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255" w:type="dxa"/>
                  <w:vAlign w:val="center"/>
                </w:tcPr>
                <w:p w14:paraId="0C9854E2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04" w:type="dxa"/>
                </w:tcPr>
                <w:p w14:paraId="4AFD1B1F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1388" w:type="dxa"/>
                  <w:gridSpan w:val="2"/>
                  <w:vAlign w:val="center"/>
                </w:tcPr>
                <w:p w14:paraId="6B0656DD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Arsenic</w:t>
                  </w:r>
                </w:p>
              </w:tc>
              <w:tc>
                <w:tcPr>
                  <w:tcW w:w="394" w:type="dxa"/>
                </w:tcPr>
                <w:p w14:paraId="6D3F5DFC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963" w:type="dxa"/>
                  <w:vAlign w:val="center"/>
                </w:tcPr>
                <w:p w14:paraId="33057692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75As</w:t>
                  </w:r>
                </w:p>
              </w:tc>
              <w:tc>
                <w:tcPr>
                  <w:tcW w:w="805" w:type="dxa"/>
                  <w:vAlign w:val="center"/>
                </w:tcPr>
                <w:p w14:paraId="73A299C6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He/He</w:t>
                  </w:r>
                </w:p>
              </w:tc>
            </w:tr>
            <w:tr w:rsidR="00E26131" w:rsidRPr="00E26131" w14:paraId="3251F7A1" w14:textId="77777777" w:rsidTr="00E26131">
              <w:trPr>
                <w:trHeight w:hRule="exact" w:val="284"/>
                <w:tblCellSpacing w:w="15" w:type="dxa"/>
              </w:trPr>
              <w:tc>
                <w:tcPr>
                  <w:tcW w:w="2232" w:type="dxa"/>
                </w:tcPr>
                <w:p w14:paraId="4B88A95F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Calcium</w:t>
                  </w:r>
                </w:p>
              </w:tc>
              <w:tc>
                <w:tcPr>
                  <w:tcW w:w="1851" w:type="dxa"/>
                </w:tcPr>
                <w:p w14:paraId="54D6822B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422.673</w:t>
                  </w:r>
                </w:p>
              </w:tc>
              <w:tc>
                <w:tcPr>
                  <w:tcW w:w="50" w:type="dxa"/>
                  <w:vAlign w:val="center"/>
                </w:tcPr>
                <w:p w14:paraId="444C9199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255" w:type="dxa"/>
                  <w:vAlign w:val="center"/>
                </w:tcPr>
                <w:p w14:paraId="487A7C97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04" w:type="dxa"/>
                </w:tcPr>
                <w:p w14:paraId="1E0A76D0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1388" w:type="dxa"/>
                  <w:gridSpan w:val="2"/>
                  <w:vAlign w:val="center"/>
                </w:tcPr>
                <w:p w14:paraId="127CC7C2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Cadmium</w:t>
                  </w:r>
                </w:p>
              </w:tc>
              <w:tc>
                <w:tcPr>
                  <w:tcW w:w="394" w:type="dxa"/>
                </w:tcPr>
                <w:p w14:paraId="580807CF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963" w:type="dxa"/>
                  <w:vAlign w:val="center"/>
                </w:tcPr>
                <w:p w14:paraId="47208217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114Cd</w:t>
                  </w:r>
                </w:p>
              </w:tc>
              <w:tc>
                <w:tcPr>
                  <w:tcW w:w="805" w:type="dxa"/>
                  <w:vAlign w:val="center"/>
                </w:tcPr>
                <w:p w14:paraId="452B89CB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No gas</w:t>
                  </w:r>
                </w:p>
              </w:tc>
            </w:tr>
            <w:tr w:rsidR="00E26131" w:rsidRPr="00E26131" w14:paraId="25ACCD8D" w14:textId="77777777" w:rsidTr="00E26131">
              <w:trPr>
                <w:trHeight w:hRule="exact" w:val="284"/>
                <w:tblCellSpacing w:w="15" w:type="dxa"/>
              </w:trPr>
              <w:tc>
                <w:tcPr>
                  <w:tcW w:w="2232" w:type="dxa"/>
                </w:tcPr>
                <w:p w14:paraId="0D95AEE3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Copper</w:t>
                  </w:r>
                </w:p>
              </w:tc>
              <w:tc>
                <w:tcPr>
                  <w:tcW w:w="1851" w:type="dxa"/>
                </w:tcPr>
                <w:p w14:paraId="4262F44F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327.395</w:t>
                  </w:r>
                </w:p>
              </w:tc>
              <w:tc>
                <w:tcPr>
                  <w:tcW w:w="50" w:type="dxa"/>
                  <w:vAlign w:val="center"/>
                </w:tcPr>
                <w:p w14:paraId="69435D3A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255" w:type="dxa"/>
                  <w:vAlign w:val="center"/>
                </w:tcPr>
                <w:p w14:paraId="585C74CD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04" w:type="dxa"/>
                </w:tcPr>
                <w:p w14:paraId="6DF9CA8A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1388" w:type="dxa"/>
                  <w:gridSpan w:val="2"/>
                  <w:vAlign w:val="center"/>
                </w:tcPr>
                <w:p w14:paraId="22DC09D2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Cobalt</w:t>
                  </w:r>
                </w:p>
              </w:tc>
              <w:tc>
                <w:tcPr>
                  <w:tcW w:w="394" w:type="dxa"/>
                </w:tcPr>
                <w:p w14:paraId="6E71702A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963" w:type="dxa"/>
                  <w:vAlign w:val="center"/>
                </w:tcPr>
                <w:p w14:paraId="10E8E1EA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59Co</w:t>
                  </w:r>
                </w:p>
              </w:tc>
              <w:tc>
                <w:tcPr>
                  <w:tcW w:w="805" w:type="dxa"/>
                  <w:vAlign w:val="center"/>
                </w:tcPr>
                <w:p w14:paraId="512F7BCA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He</w:t>
                  </w:r>
                </w:p>
              </w:tc>
            </w:tr>
            <w:tr w:rsidR="00E26131" w:rsidRPr="00E26131" w14:paraId="1694440E" w14:textId="77777777" w:rsidTr="00E26131">
              <w:trPr>
                <w:trHeight w:hRule="exact" w:val="284"/>
                <w:tblCellSpacing w:w="15" w:type="dxa"/>
              </w:trPr>
              <w:tc>
                <w:tcPr>
                  <w:tcW w:w="2232" w:type="dxa"/>
                </w:tcPr>
                <w:p w14:paraId="7156538A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Iron</w:t>
                  </w:r>
                </w:p>
              </w:tc>
              <w:tc>
                <w:tcPr>
                  <w:tcW w:w="1851" w:type="dxa"/>
                </w:tcPr>
                <w:p w14:paraId="17CFD39D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259.940</w:t>
                  </w:r>
                </w:p>
              </w:tc>
              <w:tc>
                <w:tcPr>
                  <w:tcW w:w="50" w:type="dxa"/>
                  <w:vAlign w:val="center"/>
                </w:tcPr>
                <w:p w14:paraId="1AF5F8E4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255" w:type="dxa"/>
                  <w:vAlign w:val="center"/>
                </w:tcPr>
                <w:p w14:paraId="695A07E9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04" w:type="dxa"/>
                </w:tcPr>
                <w:p w14:paraId="3DEE619E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1388" w:type="dxa"/>
                  <w:gridSpan w:val="2"/>
                  <w:vAlign w:val="center"/>
                </w:tcPr>
                <w:p w14:paraId="7D23BA6B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Chromium</w:t>
                  </w:r>
                </w:p>
              </w:tc>
              <w:tc>
                <w:tcPr>
                  <w:tcW w:w="394" w:type="dxa"/>
                </w:tcPr>
                <w:p w14:paraId="5EB39AC6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963" w:type="dxa"/>
                  <w:vAlign w:val="center"/>
                </w:tcPr>
                <w:p w14:paraId="2B457A2B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52Cr</w:t>
                  </w:r>
                </w:p>
              </w:tc>
              <w:tc>
                <w:tcPr>
                  <w:tcW w:w="805" w:type="dxa"/>
                  <w:vAlign w:val="center"/>
                </w:tcPr>
                <w:p w14:paraId="236C8E1A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He</w:t>
                  </w:r>
                </w:p>
              </w:tc>
            </w:tr>
            <w:tr w:rsidR="00E26131" w:rsidRPr="00E26131" w14:paraId="06A4995F" w14:textId="77777777" w:rsidTr="00E26131">
              <w:trPr>
                <w:trHeight w:hRule="exact" w:val="284"/>
                <w:tblCellSpacing w:w="15" w:type="dxa"/>
              </w:trPr>
              <w:tc>
                <w:tcPr>
                  <w:tcW w:w="2232" w:type="dxa"/>
                </w:tcPr>
                <w:p w14:paraId="510380F0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Sulfur</w:t>
                  </w:r>
                </w:p>
              </w:tc>
              <w:tc>
                <w:tcPr>
                  <w:tcW w:w="1851" w:type="dxa"/>
                </w:tcPr>
                <w:p w14:paraId="0E764557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181.972</w:t>
                  </w:r>
                </w:p>
              </w:tc>
              <w:tc>
                <w:tcPr>
                  <w:tcW w:w="50" w:type="dxa"/>
                  <w:vAlign w:val="center"/>
                </w:tcPr>
                <w:p w14:paraId="6A4EDF63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255" w:type="dxa"/>
                  <w:vAlign w:val="center"/>
                </w:tcPr>
                <w:p w14:paraId="6EDCCF6D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04" w:type="dxa"/>
                </w:tcPr>
                <w:p w14:paraId="280E691B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1388" w:type="dxa"/>
                  <w:gridSpan w:val="2"/>
                  <w:vAlign w:val="center"/>
                </w:tcPr>
                <w:p w14:paraId="4BE308D9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Molybdenum</w:t>
                  </w:r>
                </w:p>
              </w:tc>
              <w:tc>
                <w:tcPr>
                  <w:tcW w:w="394" w:type="dxa"/>
                </w:tcPr>
                <w:p w14:paraId="5FD75714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963" w:type="dxa"/>
                  <w:vAlign w:val="center"/>
                </w:tcPr>
                <w:p w14:paraId="633489D5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98Mo</w:t>
                  </w:r>
                </w:p>
              </w:tc>
              <w:tc>
                <w:tcPr>
                  <w:tcW w:w="805" w:type="dxa"/>
                  <w:vAlign w:val="center"/>
                </w:tcPr>
                <w:p w14:paraId="71989BF9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No gas</w:t>
                  </w:r>
                </w:p>
              </w:tc>
            </w:tr>
            <w:tr w:rsidR="00E26131" w:rsidRPr="00E26131" w14:paraId="69954A2D" w14:textId="77777777" w:rsidTr="00E26131">
              <w:trPr>
                <w:trHeight w:hRule="exact" w:val="284"/>
                <w:tblCellSpacing w:w="15" w:type="dxa"/>
              </w:trPr>
              <w:tc>
                <w:tcPr>
                  <w:tcW w:w="2232" w:type="dxa"/>
                </w:tcPr>
                <w:p w14:paraId="739C7300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 xml:space="preserve">Magnesium </w:t>
                  </w:r>
                </w:p>
              </w:tc>
              <w:tc>
                <w:tcPr>
                  <w:tcW w:w="1851" w:type="dxa"/>
                </w:tcPr>
                <w:p w14:paraId="53F4CE9F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285.213</w:t>
                  </w:r>
                </w:p>
              </w:tc>
              <w:tc>
                <w:tcPr>
                  <w:tcW w:w="50" w:type="dxa"/>
                  <w:vAlign w:val="center"/>
                </w:tcPr>
                <w:p w14:paraId="71A77AE8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255" w:type="dxa"/>
                  <w:vAlign w:val="center"/>
                </w:tcPr>
                <w:p w14:paraId="41230B9F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04" w:type="dxa"/>
                </w:tcPr>
                <w:p w14:paraId="7881979E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1388" w:type="dxa"/>
                  <w:gridSpan w:val="2"/>
                  <w:vAlign w:val="center"/>
                </w:tcPr>
                <w:p w14:paraId="1EA285D5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Lead</w:t>
                  </w:r>
                </w:p>
              </w:tc>
              <w:tc>
                <w:tcPr>
                  <w:tcW w:w="394" w:type="dxa"/>
                </w:tcPr>
                <w:p w14:paraId="5BF4F28D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963" w:type="dxa"/>
                  <w:vAlign w:val="center"/>
                </w:tcPr>
                <w:p w14:paraId="5F09F193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208Pb</w:t>
                  </w:r>
                </w:p>
              </w:tc>
              <w:tc>
                <w:tcPr>
                  <w:tcW w:w="805" w:type="dxa"/>
                  <w:vAlign w:val="center"/>
                </w:tcPr>
                <w:p w14:paraId="1B8572E4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No gas</w:t>
                  </w:r>
                </w:p>
              </w:tc>
            </w:tr>
            <w:tr w:rsidR="00E26131" w:rsidRPr="00E26131" w14:paraId="62D3ADFB" w14:textId="77777777" w:rsidTr="00E26131">
              <w:trPr>
                <w:trHeight w:hRule="exact" w:val="284"/>
                <w:tblCellSpacing w:w="15" w:type="dxa"/>
              </w:trPr>
              <w:tc>
                <w:tcPr>
                  <w:tcW w:w="2232" w:type="dxa"/>
                </w:tcPr>
                <w:p w14:paraId="1F4B86C7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Manganese</w:t>
                  </w:r>
                </w:p>
              </w:tc>
              <w:tc>
                <w:tcPr>
                  <w:tcW w:w="1851" w:type="dxa"/>
                </w:tcPr>
                <w:p w14:paraId="2F7E3F62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259.372</w:t>
                  </w:r>
                </w:p>
              </w:tc>
              <w:tc>
                <w:tcPr>
                  <w:tcW w:w="50" w:type="dxa"/>
                  <w:vAlign w:val="center"/>
                </w:tcPr>
                <w:p w14:paraId="19526A32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255" w:type="dxa"/>
                  <w:vAlign w:val="center"/>
                </w:tcPr>
                <w:p w14:paraId="09C0C09B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04" w:type="dxa"/>
                </w:tcPr>
                <w:p w14:paraId="42A9B5E0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1388" w:type="dxa"/>
                  <w:gridSpan w:val="2"/>
                  <w:vAlign w:val="center"/>
                </w:tcPr>
                <w:p w14:paraId="03B33BBA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94" w:type="dxa"/>
                </w:tcPr>
                <w:p w14:paraId="0E0710E3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963" w:type="dxa"/>
                  <w:vAlign w:val="center"/>
                </w:tcPr>
                <w:p w14:paraId="401F7E6D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805" w:type="dxa"/>
                  <w:vAlign w:val="center"/>
                </w:tcPr>
                <w:p w14:paraId="1341EAA6" w14:textId="77777777" w:rsidR="00E26131" w:rsidRPr="00E26131" w:rsidRDefault="00E26131" w:rsidP="00E26131">
                  <w:pPr>
                    <w:spacing w:after="160" w:line="259" w:lineRule="auto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</w:tr>
            <w:tr w:rsidR="00E26131" w:rsidRPr="00E26131" w14:paraId="6497AD2D" w14:textId="77777777" w:rsidTr="00E26131">
              <w:trPr>
                <w:gridAfter w:val="4"/>
                <w:wAfter w:w="2679" w:type="dxa"/>
                <w:trHeight w:hRule="exact" w:val="284"/>
                <w:tblCellSpacing w:w="15" w:type="dxa"/>
              </w:trPr>
              <w:tc>
                <w:tcPr>
                  <w:tcW w:w="2232" w:type="dxa"/>
                </w:tcPr>
                <w:p w14:paraId="6DC6618E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Phosphorous</w:t>
                  </w:r>
                </w:p>
              </w:tc>
              <w:tc>
                <w:tcPr>
                  <w:tcW w:w="1851" w:type="dxa"/>
                </w:tcPr>
                <w:p w14:paraId="6E996996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213.618</w:t>
                  </w:r>
                </w:p>
              </w:tc>
              <w:tc>
                <w:tcPr>
                  <w:tcW w:w="50" w:type="dxa"/>
                  <w:vAlign w:val="center"/>
                </w:tcPr>
                <w:p w14:paraId="0E749A01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255" w:type="dxa"/>
                  <w:vAlign w:val="center"/>
                </w:tcPr>
                <w:p w14:paraId="2A44CB3E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04" w:type="dxa"/>
                </w:tcPr>
                <w:p w14:paraId="2C35C9D0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931" w:type="dxa"/>
                </w:tcPr>
                <w:p w14:paraId="268C048F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</w:tr>
            <w:tr w:rsidR="00E26131" w:rsidRPr="00E26131" w14:paraId="7F6532F8" w14:textId="77777777" w:rsidTr="00E26131">
              <w:trPr>
                <w:gridAfter w:val="4"/>
                <w:wAfter w:w="2679" w:type="dxa"/>
                <w:trHeight w:hRule="exact" w:val="284"/>
                <w:tblCellSpacing w:w="15" w:type="dxa"/>
              </w:trPr>
              <w:tc>
                <w:tcPr>
                  <w:tcW w:w="2232" w:type="dxa"/>
                </w:tcPr>
                <w:p w14:paraId="29DB7F46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Potassium</w:t>
                  </w:r>
                </w:p>
              </w:tc>
              <w:tc>
                <w:tcPr>
                  <w:tcW w:w="1851" w:type="dxa"/>
                </w:tcPr>
                <w:p w14:paraId="64AE77CB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766.491</w:t>
                  </w:r>
                </w:p>
              </w:tc>
              <w:tc>
                <w:tcPr>
                  <w:tcW w:w="50" w:type="dxa"/>
                  <w:vAlign w:val="center"/>
                </w:tcPr>
                <w:p w14:paraId="14369F02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255" w:type="dxa"/>
                  <w:vAlign w:val="center"/>
                </w:tcPr>
                <w:p w14:paraId="0E7ED7A9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04" w:type="dxa"/>
                </w:tcPr>
                <w:p w14:paraId="33243042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931" w:type="dxa"/>
                </w:tcPr>
                <w:p w14:paraId="0E5C20DB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</w:tr>
            <w:tr w:rsidR="00E26131" w:rsidRPr="00E26131" w14:paraId="09264240" w14:textId="77777777" w:rsidTr="00E26131">
              <w:trPr>
                <w:gridAfter w:val="4"/>
                <w:wAfter w:w="2679" w:type="dxa"/>
                <w:trHeight w:hRule="exact" w:val="284"/>
                <w:tblCellSpacing w:w="15" w:type="dxa"/>
              </w:trPr>
              <w:tc>
                <w:tcPr>
                  <w:tcW w:w="2232" w:type="dxa"/>
                </w:tcPr>
                <w:p w14:paraId="686143E2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Zinc</w:t>
                  </w:r>
                </w:p>
              </w:tc>
              <w:tc>
                <w:tcPr>
                  <w:tcW w:w="1851" w:type="dxa"/>
                </w:tcPr>
                <w:p w14:paraId="7676359A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  <w:r w:rsidRPr="00E26131"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  <w:t>213.857</w:t>
                  </w:r>
                </w:p>
              </w:tc>
              <w:tc>
                <w:tcPr>
                  <w:tcW w:w="50" w:type="dxa"/>
                  <w:vAlign w:val="center"/>
                </w:tcPr>
                <w:p w14:paraId="2FF3427E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255" w:type="dxa"/>
                  <w:vAlign w:val="center"/>
                </w:tcPr>
                <w:p w14:paraId="224AA4D5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304" w:type="dxa"/>
                </w:tcPr>
                <w:p w14:paraId="24A236AE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  <w:tc>
                <w:tcPr>
                  <w:tcW w:w="931" w:type="dxa"/>
                </w:tcPr>
                <w:p w14:paraId="7E1866A2" w14:textId="77777777" w:rsidR="00E26131" w:rsidRPr="00E26131" w:rsidRDefault="00E26131" w:rsidP="00E26131">
                  <w:pPr>
                    <w:spacing w:after="0"/>
                    <w:rPr>
                      <w:rFonts w:ascii="Arial" w:eastAsia="Times New Roman" w:hAnsi="Arial" w:cs="Arial"/>
                      <w:noProof/>
                      <w:sz w:val="21"/>
                      <w:szCs w:val="24"/>
                      <w:lang w:eastAsia="fr-FR"/>
                    </w:rPr>
                  </w:pPr>
                </w:p>
              </w:tc>
            </w:tr>
          </w:tbl>
          <w:p w14:paraId="3162BDAA" w14:textId="6F7A1E29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2E0E0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9BB1B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BCA75" w14:textId="77777777" w:rsidR="00281F55" w:rsidRPr="00E26131" w:rsidRDefault="00281F55" w:rsidP="00281F55">
            <w:pPr>
              <w:spacing w:after="0"/>
              <w:rPr>
                <w:rFonts w:ascii="Arial" w:eastAsia="Times New Roman" w:hAnsi="Arial" w:cs="Arial"/>
                <w:noProof/>
                <w:sz w:val="21"/>
                <w:szCs w:val="24"/>
                <w:lang w:eastAsia="fr-FR"/>
              </w:rPr>
            </w:pPr>
          </w:p>
        </w:tc>
      </w:tr>
    </w:tbl>
    <w:p w14:paraId="52E7E62E" w14:textId="372F78DB" w:rsidR="009212A2" w:rsidRDefault="009212A2">
      <w:pPr>
        <w:spacing w:after="160" w:line="259" w:lineRule="auto"/>
        <w:sectPr w:rsidR="009212A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A2FA081" w14:textId="14A89394" w:rsidR="00BC7482" w:rsidRDefault="0091475C" w:rsidP="00BC7482">
      <w:pPr>
        <w:pStyle w:val="PCJtablelegend"/>
      </w:pPr>
      <w:r w:rsidRPr="00BC7482">
        <w:rPr>
          <w:b/>
          <w:bCs/>
        </w:rPr>
        <w:lastRenderedPageBreak/>
        <w:t>Table S3</w:t>
      </w:r>
      <w:r w:rsidR="00BC7482">
        <w:t xml:space="preserve"> -</w:t>
      </w:r>
      <w:r w:rsidRPr="0091475C">
        <w:t xml:space="preserve"> Range, Mean and SD of pesticide residues </w:t>
      </w:r>
      <w:r>
        <w:t xml:space="preserve">quantified in </w:t>
      </w:r>
      <w:r w:rsidRPr="0091475C">
        <w:t>the Vineyard location.</w:t>
      </w:r>
    </w:p>
    <w:p w14:paraId="36F94F2F" w14:textId="6310E50A" w:rsidR="005C77A5" w:rsidRDefault="005C77A5">
      <w:pPr>
        <w:spacing w:after="160" w:line="259" w:lineRule="auto"/>
        <w:rPr>
          <w:b/>
          <w:bCs/>
        </w:rPr>
      </w:pPr>
      <w:r w:rsidRPr="005C77A5">
        <w:rPr>
          <w:noProof/>
        </w:rPr>
        <w:drawing>
          <wp:inline distT="0" distB="0" distL="0" distR="0" wp14:anchorId="414A2027" wp14:editId="1B39E6FA">
            <wp:extent cx="8067675" cy="499938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4486" cy="502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83FD8" w14:textId="77777777" w:rsidR="00BC7482" w:rsidRDefault="005C77A5" w:rsidP="00BC7482">
      <w:pPr>
        <w:pStyle w:val="PCJnotetable"/>
      </w:pPr>
      <w:r w:rsidRPr="005C77A5">
        <w:t>Values are mean of the 3 replicates in each hive (range ppb) and the mean of the two hives (mean ±  SD)</w:t>
      </w:r>
    </w:p>
    <w:p w14:paraId="4A65A8F2" w14:textId="08DB6898" w:rsidR="005C77A5" w:rsidRDefault="005C77A5" w:rsidP="00BC7482">
      <w:pPr>
        <w:pStyle w:val="PCJnotetable"/>
        <w:sectPr w:rsidR="005C77A5" w:rsidSect="009212A2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 w:rsidRPr="005C77A5">
        <w:t>* Detected or quantified in only one hive</w:t>
      </w:r>
      <w:r>
        <w:tab/>
      </w:r>
      <w:r>
        <w:tab/>
      </w:r>
      <w:r>
        <w:tab/>
      </w:r>
      <w:r>
        <w:tab/>
      </w:r>
    </w:p>
    <w:p w14:paraId="0FDD74FA" w14:textId="77777777" w:rsidR="00181EF0" w:rsidRDefault="00181EF0" w:rsidP="00181EF0">
      <w:pPr>
        <w:pStyle w:val="NormalWeb"/>
      </w:pPr>
      <w:r>
        <w:rPr>
          <w:noProof/>
        </w:rPr>
        <w:lastRenderedPageBreak/>
        <w:drawing>
          <wp:inline distT="0" distB="0" distL="0" distR="0" wp14:anchorId="6FCC375D" wp14:editId="0874D5B6">
            <wp:extent cx="5790702" cy="4380932"/>
            <wp:effectExtent l="0" t="0" r="635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5"/>
                    <a:stretch/>
                  </pic:blipFill>
                  <pic:spPr bwMode="auto">
                    <a:xfrm>
                      <a:off x="0" y="0"/>
                      <a:ext cx="5818125" cy="4401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D59D6" w14:textId="058AA67E" w:rsidR="00181EF0" w:rsidRPr="00BC7482" w:rsidRDefault="00181EF0" w:rsidP="00BC7482">
      <w:pPr>
        <w:pStyle w:val="PCJcaptionfigure"/>
        <w:rPr>
          <w:rFonts w:cs="Arial"/>
          <w:bCs/>
        </w:rPr>
      </w:pPr>
      <w:r w:rsidRPr="00BC7482">
        <w:rPr>
          <w:rFonts w:cs="Arial"/>
          <w:b/>
        </w:rPr>
        <w:t>Figure S</w:t>
      </w:r>
      <w:r w:rsidR="00281F55" w:rsidRPr="00BC7482">
        <w:rPr>
          <w:rFonts w:cs="Arial"/>
          <w:b/>
        </w:rPr>
        <w:t>1</w:t>
      </w:r>
      <w:r w:rsidR="00BC7482">
        <w:rPr>
          <w:rFonts w:cs="Arial"/>
          <w:b/>
        </w:rPr>
        <w:t xml:space="preserve"> -</w:t>
      </w:r>
      <w:r w:rsidRPr="00BC7482">
        <w:rPr>
          <w:rFonts w:cs="Arial"/>
          <w:b/>
        </w:rPr>
        <w:t xml:space="preserve"> </w:t>
      </w:r>
      <w:r w:rsidRPr="00BC7482">
        <w:rPr>
          <w:rFonts w:cs="Arial"/>
          <w:bCs/>
        </w:rPr>
        <w:t>Concentrations of trace elements (mg/kg) and sulfur (g/kg) quantified in honey bees sampled between May and October in contrasted locations. Values presented are mean ± SE of the two hives placed at each location (Forest, Sub-urban, Urban, Vineyard).</w:t>
      </w:r>
    </w:p>
    <w:p w14:paraId="6089570D" w14:textId="77777777" w:rsidR="00181EF0" w:rsidRDefault="00181EF0" w:rsidP="008D06BF">
      <w:pPr>
        <w:pStyle w:val="NormalWeb"/>
        <w:spacing w:before="0" w:beforeAutospacing="0" w:after="200" w:afterAutospacing="0" w:line="360" w:lineRule="auto"/>
        <w:contextualSpacing/>
        <w:jc w:val="both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432922E6" w14:textId="1C2C991D" w:rsidR="00181EF0" w:rsidRDefault="00181EF0" w:rsidP="008D06BF">
      <w:pPr>
        <w:pStyle w:val="NormalWeb"/>
        <w:spacing w:before="0" w:beforeAutospacing="0" w:after="200" w:afterAutospacing="0" w:line="360" w:lineRule="auto"/>
        <w:contextualSpacing/>
        <w:jc w:val="both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75FAB2EA" w14:textId="2DAEC2DB" w:rsidR="00181EF0" w:rsidRDefault="00181EF0" w:rsidP="008D06BF">
      <w:pPr>
        <w:pStyle w:val="NormalWeb"/>
        <w:spacing w:before="0" w:beforeAutospacing="0" w:after="200" w:afterAutospacing="0" w:line="360" w:lineRule="auto"/>
        <w:contextualSpacing/>
        <w:jc w:val="both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5F9778FD" w14:textId="397FA527" w:rsidR="00181EF0" w:rsidRPr="00F7402F" w:rsidRDefault="00380709" w:rsidP="00181EF0">
      <w:p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w:lastRenderedPageBreak/>
        <w:drawing>
          <wp:inline distT="0" distB="0" distL="0" distR="0" wp14:anchorId="37533CD8" wp14:editId="0CCFA5A9">
            <wp:extent cx="5676900" cy="516341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414" cy="517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C2CA3B" w14:textId="273ED286" w:rsidR="008D06BF" w:rsidRPr="00281F55" w:rsidRDefault="00181EF0" w:rsidP="00BC7482">
      <w:pPr>
        <w:pStyle w:val="PCJcaptionfigure"/>
        <w:rPr>
          <w:rFonts w:eastAsiaTheme="minorHAnsi"/>
        </w:rPr>
      </w:pPr>
      <w:r w:rsidRPr="00CD0154">
        <w:rPr>
          <w:rFonts w:eastAsiaTheme="minorHAnsi"/>
          <w:b/>
          <w:bCs/>
        </w:rPr>
        <w:t xml:space="preserve">Figure </w:t>
      </w:r>
      <w:r>
        <w:rPr>
          <w:rFonts w:eastAsiaTheme="minorHAnsi"/>
          <w:b/>
          <w:bCs/>
        </w:rPr>
        <w:t>S</w:t>
      </w:r>
      <w:r w:rsidR="00281F55">
        <w:rPr>
          <w:rFonts w:eastAsiaTheme="minorHAnsi"/>
          <w:b/>
          <w:bCs/>
        </w:rPr>
        <w:t>2</w:t>
      </w:r>
      <w:r w:rsidR="00BC7482">
        <w:rPr>
          <w:rFonts w:eastAsiaTheme="minorHAnsi"/>
          <w:b/>
          <w:bCs/>
        </w:rPr>
        <w:t xml:space="preserve"> -</w:t>
      </w:r>
      <w:r w:rsidRPr="00CD0154">
        <w:rPr>
          <w:rFonts w:eastAsiaTheme="minorHAnsi"/>
          <w:b/>
          <w:bCs/>
        </w:rPr>
        <w:t xml:space="preserve"> </w:t>
      </w:r>
      <w:r w:rsidR="00B31312" w:rsidRPr="00BC7482">
        <w:rPr>
          <w:rFonts w:eastAsiaTheme="minorHAnsi"/>
        </w:rPr>
        <w:t>E</w:t>
      </w:r>
      <w:r w:rsidRPr="00BC7482">
        <w:rPr>
          <w:rFonts w:eastAsiaTheme="minorHAnsi"/>
        </w:rPr>
        <w:t>volution of copper concentrations in honey bees by location.</w:t>
      </w:r>
      <w:r w:rsidRPr="00CD0154">
        <w:rPr>
          <w:rFonts w:eastAsiaTheme="minorHAnsi"/>
        </w:rPr>
        <w:t xml:space="preserve"> </w:t>
      </w:r>
      <w:r w:rsidR="007C1CFD">
        <w:rPr>
          <w:rFonts w:eastAsiaTheme="minorHAnsi"/>
        </w:rPr>
        <w:t>Dots</w:t>
      </w:r>
      <w:r w:rsidR="007C1CFD" w:rsidRPr="00CD0154">
        <w:rPr>
          <w:rFonts w:eastAsiaTheme="minorHAnsi"/>
        </w:rPr>
        <w:t xml:space="preserve"> </w:t>
      </w:r>
      <w:r w:rsidR="007C1CFD">
        <w:rPr>
          <w:rFonts w:eastAsiaTheme="minorHAnsi"/>
        </w:rPr>
        <w:t>are</w:t>
      </w:r>
      <w:r w:rsidR="007C1CFD" w:rsidRPr="00CD0154">
        <w:rPr>
          <w:rFonts w:eastAsiaTheme="minorHAnsi"/>
        </w:rPr>
        <w:t xml:space="preserve"> </w:t>
      </w:r>
      <w:r w:rsidRPr="00CD0154">
        <w:rPr>
          <w:rFonts w:eastAsiaTheme="minorHAnsi"/>
        </w:rPr>
        <w:t xml:space="preserve">true sampling dates and </w:t>
      </w:r>
      <w:r w:rsidR="00B31312">
        <w:rPr>
          <w:rFonts w:eastAsiaTheme="minorHAnsi"/>
        </w:rPr>
        <w:t xml:space="preserve">fitted </w:t>
      </w:r>
      <w:r w:rsidRPr="00CD0154">
        <w:rPr>
          <w:rFonts w:eastAsiaTheme="minorHAnsi"/>
        </w:rPr>
        <w:t xml:space="preserve">lines </w:t>
      </w:r>
      <w:r w:rsidR="00B31312">
        <w:rPr>
          <w:rFonts w:eastAsiaTheme="minorHAnsi"/>
        </w:rPr>
        <w:t>represent</w:t>
      </w:r>
      <w:r w:rsidR="007C1CFD" w:rsidRPr="00CD0154">
        <w:rPr>
          <w:rFonts w:eastAsiaTheme="minorHAnsi"/>
        </w:rPr>
        <w:t xml:space="preserve"> </w:t>
      </w:r>
      <w:r w:rsidRPr="00CD0154">
        <w:rPr>
          <w:rFonts w:eastAsiaTheme="minorHAnsi"/>
        </w:rPr>
        <w:t>trends</w:t>
      </w:r>
      <w:r w:rsidR="00B31312" w:rsidRPr="001F5C93">
        <w:t xml:space="preserve"> </w:t>
      </w:r>
      <w:r w:rsidR="00B31312" w:rsidRPr="00B31312">
        <w:rPr>
          <w:rFonts w:eastAsiaTheme="minorHAnsi"/>
        </w:rPr>
        <w:t>over the study period</w:t>
      </w:r>
      <w:r>
        <w:rPr>
          <w:rFonts w:eastAsiaTheme="minorHAnsi"/>
        </w:rPr>
        <w:t xml:space="preserve">. The monthly bioaccumulation of copper was calculated through the estimation of slopes in each Location. Increasing concentrations of copper with time was revealed in Vineyards only (lm, estimate: 6.95 </w:t>
      </w:r>
      <w:r>
        <w:rPr>
          <w:rFonts w:eastAsiaTheme="minorHAnsi" w:cstheme="minorHAnsi"/>
        </w:rPr>
        <w:t>±</w:t>
      </w:r>
      <w:r>
        <w:rPr>
          <w:rFonts w:eastAsiaTheme="minorHAnsi"/>
        </w:rPr>
        <w:t xml:space="preserve"> 1.95, p-value = </w:t>
      </w:r>
      <w:r w:rsidRPr="009871DF">
        <w:rPr>
          <w:rFonts w:eastAsiaTheme="minorHAnsi"/>
        </w:rPr>
        <w:t>0.00918</w:t>
      </w:r>
      <w:r>
        <w:rPr>
          <w:rFonts w:eastAsiaTheme="minorHAnsi"/>
        </w:rPr>
        <w:t>) whereas other locations did not exhibit any significant positive or negative relationship (p-value, Forest = 0.788, Sub-urban = 0.0986, Urban = 0.550).</w:t>
      </w:r>
    </w:p>
    <w:sectPr w:rsidR="008D06BF" w:rsidRPr="00281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5D3C5" w14:textId="77777777" w:rsidR="00AB3AA2" w:rsidRDefault="00AB3AA2" w:rsidP="00A00DD8">
      <w:pPr>
        <w:spacing w:after="0"/>
      </w:pPr>
      <w:r>
        <w:separator/>
      </w:r>
    </w:p>
  </w:endnote>
  <w:endnote w:type="continuationSeparator" w:id="0">
    <w:p w14:paraId="0DBBE54A" w14:textId="77777777" w:rsidR="00AB3AA2" w:rsidRDefault="00AB3AA2" w:rsidP="00A00D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orps)">
    <w:altName w:val="Calibri"/>
    <w:panose1 w:val="00000000000000000000"/>
    <w:charset w:val="00"/>
    <w:family w:val="roman"/>
    <w:notTrueType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82C9B" w14:textId="77777777" w:rsidR="00AB3AA2" w:rsidRDefault="00AB3AA2" w:rsidP="00A00DD8">
      <w:pPr>
        <w:spacing w:after="0"/>
      </w:pPr>
      <w:r>
        <w:separator/>
      </w:r>
    </w:p>
  </w:footnote>
  <w:footnote w:type="continuationSeparator" w:id="0">
    <w:p w14:paraId="1E2A5790" w14:textId="77777777" w:rsidR="00AB3AA2" w:rsidRDefault="00AB3AA2" w:rsidP="00A00D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B2E6F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82486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94029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2C65B2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60831D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52A94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4C5D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481D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10C4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FFC7B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FB"/>
    <w:rsid w:val="00010446"/>
    <w:rsid w:val="00066E02"/>
    <w:rsid w:val="0008403E"/>
    <w:rsid w:val="00181EF0"/>
    <w:rsid w:val="001F5C93"/>
    <w:rsid w:val="00200B38"/>
    <w:rsid w:val="00281F55"/>
    <w:rsid w:val="002A156C"/>
    <w:rsid w:val="002B00E8"/>
    <w:rsid w:val="002E1BEF"/>
    <w:rsid w:val="002F1147"/>
    <w:rsid w:val="00341F71"/>
    <w:rsid w:val="00380709"/>
    <w:rsid w:val="00384762"/>
    <w:rsid w:val="003B5ACC"/>
    <w:rsid w:val="003C037F"/>
    <w:rsid w:val="0054307E"/>
    <w:rsid w:val="005944B1"/>
    <w:rsid w:val="005B3507"/>
    <w:rsid w:val="005C7496"/>
    <w:rsid w:val="005C77A5"/>
    <w:rsid w:val="006C2F5D"/>
    <w:rsid w:val="007C1CFD"/>
    <w:rsid w:val="007D66DB"/>
    <w:rsid w:val="00840EB5"/>
    <w:rsid w:val="008B6B82"/>
    <w:rsid w:val="008D06BF"/>
    <w:rsid w:val="0091475C"/>
    <w:rsid w:val="009212A2"/>
    <w:rsid w:val="009479C4"/>
    <w:rsid w:val="009C2CC8"/>
    <w:rsid w:val="009C303C"/>
    <w:rsid w:val="00A00DD8"/>
    <w:rsid w:val="00AB3AA2"/>
    <w:rsid w:val="00B31312"/>
    <w:rsid w:val="00B441C4"/>
    <w:rsid w:val="00B52037"/>
    <w:rsid w:val="00BC7482"/>
    <w:rsid w:val="00C11E1B"/>
    <w:rsid w:val="00C73226"/>
    <w:rsid w:val="00C74EAF"/>
    <w:rsid w:val="00D520CA"/>
    <w:rsid w:val="00E16702"/>
    <w:rsid w:val="00E253FB"/>
    <w:rsid w:val="00E26131"/>
    <w:rsid w:val="00EC7A7D"/>
    <w:rsid w:val="00ED1883"/>
    <w:rsid w:val="00EF22F2"/>
    <w:rsid w:val="00F01310"/>
    <w:rsid w:val="00F4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52007"/>
  <w15:chartTrackingRefBased/>
  <w15:docId w15:val="{9FD2F065-F1D0-4EBF-B56E-1756ABAB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482"/>
    <w:pPr>
      <w:spacing w:after="200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520C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D520C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520C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520CA"/>
    <w:rPr>
      <w:sz w:val="20"/>
      <w:szCs w:val="20"/>
      <w:lang w:val="en-US"/>
    </w:rPr>
  </w:style>
  <w:style w:type="paragraph" w:styleId="Rvision">
    <w:name w:val="Revision"/>
    <w:hidden/>
    <w:uiPriority w:val="99"/>
    <w:semiHidden/>
    <w:rsid w:val="0008403E"/>
    <w:pPr>
      <w:spacing w:after="0" w:line="240" w:lineRule="auto"/>
    </w:pPr>
    <w:rPr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8403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8403E"/>
    <w:rPr>
      <w:b/>
      <w:bCs/>
      <w:sz w:val="20"/>
      <w:szCs w:val="20"/>
      <w:lang w:val="en-US"/>
    </w:rPr>
  </w:style>
  <w:style w:type="paragraph" w:styleId="En-tte">
    <w:name w:val="header"/>
    <w:basedOn w:val="Normal"/>
    <w:link w:val="En-tteCar"/>
    <w:uiPriority w:val="99"/>
    <w:unhideWhenUsed/>
    <w:rsid w:val="00A00DD8"/>
    <w:pPr>
      <w:tabs>
        <w:tab w:val="center" w:pos="4703"/>
        <w:tab w:val="right" w:pos="94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A00DD8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A00DD8"/>
    <w:pPr>
      <w:tabs>
        <w:tab w:val="center" w:pos="4703"/>
        <w:tab w:val="right" w:pos="94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A00DD8"/>
    <w:rPr>
      <w:lang w:val="en-US"/>
    </w:rPr>
  </w:style>
  <w:style w:type="table" w:customStyle="1" w:styleId="Tableausimple41">
    <w:name w:val="Tableau simple 41"/>
    <w:basedOn w:val="TableauNormal"/>
    <w:next w:val="Tableausimple4"/>
    <w:uiPriority w:val="44"/>
    <w:rsid w:val="00BC7482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ausimple4">
    <w:name w:val="Plain Table 4"/>
    <w:basedOn w:val="TableauNormal"/>
    <w:uiPriority w:val="44"/>
    <w:rsid w:val="00BC74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CJtablelegend">
    <w:name w:val="PCJ table legend"/>
    <w:basedOn w:val="Normal"/>
    <w:next w:val="Normal"/>
    <w:qFormat/>
    <w:rsid w:val="00BC7482"/>
    <w:pPr>
      <w:spacing w:before="240" w:after="240"/>
      <w:ind w:left="851" w:right="851"/>
      <w:contextualSpacing/>
      <w:jc w:val="both"/>
    </w:pPr>
    <w:rPr>
      <w:rFonts w:ascii="Arial" w:eastAsia="Times New Roman" w:hAnsi="Arial" w:cs="Calibri (Corps)"/>
      <w:noProof/>
      <w:color w:val="000000" w:themeColor="text1"/>
      <w:sz w:val="20"/>
      <w:szCs w:val="24"/>
      <w:lang w:eastAsia="fr-FR"/>
    </w:rPr>
  </w:style>
  <w:style w:type="paragraph" w:customStyle="1" w:styleId="PCJnotetable">
    <w:name w:val="PCJ note table"/>
    <w:link w:val="PCJnotetableCar"/>
    <w:qFormat/>
    <w:rsid w:val="00BC7482"/>
    <w:pPr>
      <w:spacing w:after="240" w:line="240" w:lineRule="auto"/>
      <w:ind w:left="851" w:right="851"/>
      <w:contextualSpacing/>
      <w:jc w:val="both"/>
    </w:pPr>
    <w:rPr>
      <w:rFonts w:ascii="Source Sans Pro" w:eastAsia="Times New Roman" w:hAnsi="Source Sans Pro" w:cstheme="minorHAnsi"/>
      <w:noProof/>
      <w:sz w:val="18"/>
      <w:szCs w:val="24"/>
      <w:lang w:val="en-US"/>
    </w:rPr>
  </w:style>
  <w:style w:type="character" w:customStyle="1" w:styleId="PCJnotetableCar">
    <w:name w:val="PCJ note table Car"/>
    <w:basedOn w:val="Policepardfaut"/>
    <w:link w:val="PCJnotetable"/>
    <w:rsid w:val="00BC7482"/>
    <w:rPr>
      <w:rFonts w:ascii="Source Sans Pro" w:eastAsia="Times New Roman" w:hAnsi="Source Sans Pro" w:cstheme="minorHAnsi"/>
      <w:noProof/>
      <w:sz w:val="18"/>
      <w:szCs w:val="24"/>
      <w:lang w:val="en-US"/>
    </w:rPr>
  </w:style>
  <w:style w:type="paragraph" w:customStyle="1" w:styleId="PCJcaptionfigure">
    <w:name w:val="PCJ caption figure"/>
    <w:basedOn w:val="Normal"/>
    <w:qFormat/>
    <w:rsid w:val="00BC7482"/>
    <w:pPr>
      <w:spacing w:after="240"/>
      <w:ind w:left="851" w:right="851"/>
      <w:contextualSpacing/>
      <w:jc w:val="both"/>
    </w:pPr>
    <w:rPr>
      <w:rFonts w:ascii="Arial" w:eastAsia="Times New Roman" w:hAnsi="Arial" w:cs="Calibri (Corps)"/>
      <w:noProof/>
      <w:sz w:val="20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C8365-82FD-468B-AC02-B8C9F9BA3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Tison</dc:creator>
  <cp:keywords/>
  <dc:description/>
  <cp:lastModifiedBy>Lea Tison</cp:lastModifiedBy>
  <cp:revision>2</cp:revision>
  <dcterms:created xsi:type="dcterms:W3CDTF">2025-12-15T13:08:00Z</dcterms:created>
  <dcterms:modified xsi:type="dcterms:W3CDTF">2025-12-15T13:08:00Z</dcterms:modified>
</cp:coreProperties>
</file>