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90eeccdc1ba457a" /></Relationships>
</file>

<file path=word/document.xml><?xml version="1.0" encoding="utf-8"?>
<w:document xmlns:w="http://schemas.openxmlformats.org/wordprocessingml/2006/main">
  <w:body>
    <w:p>
      <w:pPr>
        <w:pStyle w:val="ReportTitle"/>
      </w:pPr>
      <w:r>
        <w:t xml:space="preserve">Social Network Analysis of the Twitch Gamers Network</w:t>
      </w:r>
    </w:p>
    <w:p>
      <w:pPr>
        <w:pStyle w:val="ReportSubtitle"/>
      </w:pPr>
      <w:r>
        <w:t xml:space="preserve">Part 1 — Exploratory Data Analysis &amp; Part 2 — Community Detection</w:t>
      </w:r>
    </w:p>
    <w:p>
      <w:pPr>
        <w:pStyle w:val="BodyText"/>
        <w:jc w:val="center"/>
      </w:pPr>
      <w:r>
        <w:t xml:space="preserve">Twitch Gamers mutual-follow network (Rozemberczki &amp; Sarkar, 2021)</w:t>
      </w:r>
    </w:p>
    <w:p>
      <w:pPr>
        <w:pStyle w:val="BodyText"/>
        <w:jc w:val="center"/>
      </w:pPr>
      <w:r>
        <w:t xml:space="preserve">168,114 nodes · 6,797,557 edges</w:t>
      </w:r>
    </w:p>
    <w:p>
      <w:pPr>
        <w:pStyle w:val="BodyText"/>
        <w:jc w:val="center"/>
      </w:pPr>
      <w:r>
        <w:t xml:space="preserve">Analysis engine: python-igraph · Reproducible (fixed RNG seed = 42)</w:t>
      </w:r>
    </w:p>
    <w:p>
      <w:r>
        <w:br w:type="page"/>
      </w:r>
    </w:p>
    <w:p>
      <w:pPr>
        <w:pStyle w:val="TocHeading"/>
      </w:pPr>
      <w:r>
        <w:t xml:space="preserve">Table of Contents</w:t>
      </w:r>
    </w:p>
    <w:p>
      <w:r>
        <w:fldChar w:fldCharType="begin"/>
      </w:r>
      <w:r>
        <w:instrText xml:space="preserve"> TOC \o "1-2" \h \z \u </w:instrText>
      </w:r>
      <w:r>
        <w:fldChar w:fldCharType="separate"/>
      </w:r>
      <w:r>
        <w:t xml:space="preserve">Right-click and choose “Update Field” to populate the table of contents.</w:t>
      </w:r>
      <w:r>
        <w:fldChar w:fldCharType="end"/>
      </w:r>
    </w:p>
    <w:p>
      <w:r>
        <w:br w:type="page"/>
      </w:r>
    </w:p>
    <w:p>
      <w:pPr>
        <w:pStyle w:val="Heading1"/>
      </w:pPr>
      <w:r>
        <w:t xml:space="preserve">1. Introduction and Dataset</w:t>
      </w:r>
    </w:p>
    <w:p>
      <w:pPr>
        <w:pStyle w:val="Heading2"/>
      </w:pPr>
      <w:r>
        <w:t xml:space="preserve">1.1 Dataset</w:t>
      </w:r>
    </w:p>
    <w:p>
      <w:pPr>
        <w:pStyle w:val="BodyText"/>
      </w:pPr>
      <w:r>
        <w:t xml:space="preserve">This study analyses the Twitch Gamers social network, collected from the Twitch public API in spring 2018 (Rozemberczki &amp; Sarkar, 2021). Nodes are Twitch streamers and undirected edges are mutual-follow relationships: an edge exists between two users only when each follows the other. The graph contains 168,114 nodes and 6,797,557 edges and forms a single connected component with no missing attributes, which removes the need for component filtering or imputation.</w:t>
      </w:r>
    </w:p>
    <w:p>
      <w:pPr>
        <w:pStyle w:val="BodyText"/>
      </w:pPr>
      <w:r>
        <w:t xml:space="preserve">Each node carries six attributes used throughout this report: total channel views (views), broadcast language (language), account lifetime in days (life_time), affiliate status (affiliate, binary), a churn indicator (dead_account, binary), and a mature-content flag (mature, binary). The dataset README reports a global transitivity of 0.0184, which we reproduce exactly and use as a build-correctness checkpoint.</w:t>
      </w:r>
    </w:p>
    <w:p>
      <w:pPr>
        <w:pStyle w:val="Heading2"/>
      </w:pPr>
      <w:r>
        <w:t xml:space="preserve">1.2 Objectives</w:t>
      </w:r>
    </w:p>
    <w:p>
      <w:pPr>
        <w:pStyle w:val="BodyText"/>
      </w:pPr>
      <w:r>
        <w:t xml:space="preserve">This report covers the two assigned parts of the project. Part 1 (Exploratory Data Analysis) characterises the structural and statistical properties of the network before any modelling: the degree distribution and its power-law behaviour, clustering and transitivity, the distributions of node attributes, and the correlation between graph-structural features and node attributes. Part 2 (Community Detection) identifies natural groupings with the Louvain algorithm, profiles the major communities, and tests — through Normalized Mutual Information and graph-native quality metrics — whether the network is organised by language or by other factors. Parts 3 (node classification) and 4 (link prediction) are owned by other team members and are out of scope here.</w:t>
      </w:r>
    </w:p>
    <w:p>
      <w:pPr>
        <w:pStyle w:val="Heading1"/>
      </w:pPr>
      <w:r>
        <w:t xml:space="preserve">2. Methods</w:t>
      </w:r>
    </w:p>
    <w:p>
      <w:pPr>
        <w:pStyle w:val="Heading2"/>
      </w:pPr>
      <w:r>
        <w:t xml:space="preserve">2.1 Tooling and Graph Construction</w:t>
      </w:r>
    </w:p>
    <w:p>
      <w:pPr>
        <w:pStyle w:val="BodyText"/>
      </w:pPr>
      <w:r>
        <w:t xml:space="preserve">All analysis uses python-igraph, whose C core makes per-node metrics, PageRank, and Louvain tractable on a graph of this size; a pure-Python library such as networkx is prohibitively slow and memory-heavy at 6.8 million edges. Statistical work uses pandas and numpy; the power-law fit uses the powerlaw package; correlation heatmaps use seaborn; and Normalized Mutual Information uses scikit-learn.</w:t>
      </w:r>
    </w:p>
    <w:p>
      <w:pPr>
        <w:pStyle w:val="BodyText"/>
      </w:pPr>
      <w:r>
        <w:t xml:space="preserve">The graph is built undirected and simplified (duplicate edges and self-loops removed). A key correctness invariant underpins every downstream join: node identifiers are the contiguous integers 0..168,113, so the features table — sorted by numeric_id — aligns row-for-row with igraph vertex indices. The loader asserts this contiguity, asserts a vertex count of 168,114, and asserts that global transitivity falls in (0.017, 0.020), matching the README value of 0.0184. If any assertion fails, the build aborts rather than producing silently misaligned results — the most dangerous failure mode in graph analytics, where a metric for one node is attached to a different node's attributes.</w:t>
      </w:r>
    </w:p>
    <w:p>
      <w:pPr>
        <w:pStyle w:val="BodyText"/>
      </w:pPr>
      <w:r>
        <w:t xml:space="preserve">Reproducibility: the Louvain algorithm visits vertices in a randomised order, so the community count and exact modularity drift between runs. We route igraph's random number generator through Python's RNG and seed it once (seed = 42) before community detection. This makes the headline partition, the stability runs, and the configuration-model null all identical across runs and machines, while the stability runs still differ from one another to quantify genuine variance.</w:t>
      </w:r>
    </w:p>
    <w:p>
      <w:pPr>
        <w:pStyle w:val="Heading2"/>
      </w:pPr>
      <w:r>
        <w:t xml:space="preserve">2.2 Part 1 — Exploratory Data Analysis Methods</w:t>
      </w:r>
    </w:p>
    <w:p>
      <w:pPr>
        <w:pStyle w:val="BodyText"/>
      </w:pPr>
      <w:r>
        <w:t xml:space="preserve">Degree distribution and power law. We fit a discrete power law to the degree sequence with the powerlaw package, reporting the exponent alpha, the lower bound xmin above which the fit applies, and the Kolmogorov–Smirnov (KS) distance as goodness-of-fit. Because heavy-tailed data are frequently mistaken for power laws, we additionally run a log-likelihood ratio test comparing the power law against a lognormal alternative, and only call the tail scale-free when the exponent lies in the canonical band 2 &lt; alpha &lt; 3 and the power law is not significantly rejected in favour of lognormal.</w:t>
      </w:r>
    </w:p>
    <w:p>
      <w:pPr>
        <w:pStyle w:val="BodyText"/>
      </w:pPr>
      <w:r>
        <w:t xml:space="preserve">Clustering and transitivity. We report global transitivity (the fraction of closed connected triplets) and the average local clustering coefficient (each node's neighbourhood density, averaged with degree-&lt;2 nodes counted as zero). To judge whether the observed clustering is meaningful, we compare it against the Erdos–Renyi expectation, where clustering approximately equals the graph density.</w:t>
      </w:r>
    </w:p>
    <w:p>
      <w:pPr>
        <w:pStyle w:val="BodyText"/>
      </w:pPr>
      <w:r>
        <w:t xml:space="preserve">Node feature distributions. We summarise the language mix, the affiliate rate, the churn (dead-account) rate, the mature-content rate, and the distributions of view count (on a log scale, given strong right-skew) and account lifetime.</w:t>
      </w:r>
    </w:p>
    <w:p>
      <w:pPr>
        <w:pStyle w:val="BodyText"/>
      </w:pPr>
      <w:r>
        <w:t xml:space="preserve">Correlation analysis. For every node we assemble three structural features (degree, PageRank, local clustering coefficient) and three attributes (log views, affiliate, account lifetime). We report Spearman (rank) correlation as the headline measure because the structural features and views are heavy-tailed, and include Pearson for completeness.</w:t>
      </w:r>
    </w:p>
    <w:p>
      <w:pPr>
        <w:pStyle w:val="Heading2"/>
      </w:pPr>
      <w:r>
        <w:t xml:space="preserve">2.3 Part 2 — Community Detection Methods</w:t>
      </w:r>
    </w:p>
    <w:p>
      <w:pPr>
        <w:pStyle w:val="BodyText"/>
      </w:pPr>
      <w:r>
        <w:t xml:space="preserve">Louvain communities. We detect communities with igraph's multilevel (Louvain) algorithm, which greedily maximises modularity Q. We report Q, the number of communities, and the size distribution. To confirm Q is not a single-run artefact, we run the algorithm three times from the seeded stream and report the spread.</w:t>
      </w:r>
    </w:p>
    <w:p>
      <w:pPr>
        <w:pStyle w:val="BodyText"/>
      </w:pPr>
      <w:r>
        <w:t xml:space="preserve">Community profiling. We attach each node's community label to the features table and, for the ten largest communities, report size, dominant language, language purity (the share of the dominant language within the community), affiliate rate, and median view count.</w:t>
      </w:r>
    </w:p>
    <w:p>
      <w:pPr>
        <w:pStyle w:val="BodyText"/>
      </w:pPr>
      <w:r>
        <w:t xml:space="preserve">NMI evaluation. We compute Normalized Mutual Information between the Louvain partition and the language labels. High NMI indicates a network organised by language; low NMI indicates other organising factors. A label-misaligned baseline (near zero) contextualises the value.</w:t>
      </w:r>
    </w:p>
    <w:p>
      <w:pPr>
        <w:pStyle w:val="BodyText"/>
      </w:pPr>
      <w:r>
        <w:t xml:space="preserve">Quality assessment. The Silhouette Score used for feature-space clustering does not transfer to graph communities, because there is no native distance between nodes. We therefore use the standard graph-native analogs: modularity Q (overall quality), coverage (the fraction of edges that stay inside communities), conductance per community (boundary edges divided by community volume; lower means better separated), and a significance test that compares Q against the modularity achievable on degree-preserving configuration-model random graphs.</w:t>
      </w:r>
    </w:p>
    <w:p>
      <w:pPr>
        <w:pStyle w:val="Heading1"/>
      </w:pPr>
      <w:r>
        <w:t xml:space="preserve">3. Results — Part 1: Exploratory Data Analysis</w:t>
      </w:r>
    </w:p>
    <w:p>
      <w:pPr>
        <w:pStyle w:val="Heading2"/>
      </w:pPr>
      <w:r>
        <w:t xml:space="preserve">3.1 Degree Distribution and Power Law</w:t>
      </w:r>
    </w:p>
    <w:p>
      <w:pPr>
        <w:pStyle w:val="BodyText"/>
      </w:pPr>
      <w:r>
        <w:t xml:space="preserve">The complementary cumulative degree distribution (Figure 1) is strongly heavy-tailed: mean degree is 80.9 while the maximum degree reaches 35,279. The power-law fit gives alpha = 2.54 with xmin = 250 and a KS distance of 0.0051, indicating a close fit in the tail. The log-likelihood ratio test against lognormal is inconclusive (R = -0.19, p = 0.85), meaning neither distribution is a significantly better description.</w:t>
      </w:r>
    </w:p>
    <w:p>
      <w:pPr>
        <w:jc w:val="center"/>
      </w:pPr>
      <w:r>
        <w:drawing>
          <wp:inline xmlns:wp="http://schemas.openxmlformats.org/drawingml/2006/wordprocessingDrawing" distT="0" distB="0" distL="0" distR="0">
            <wp:extent cx="5486400" cy="3918857"/>
            <wp:effectExtent l="0" t="0" r="0" b="0"/>
            <wp:docPr id="1" name="Figure1" descr="Degree distribution (log–log CCDF) with the fitted power law. The tail is well described by a power law with exponent alpha =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
                    <pic:cNvPicPr/>
                  </pic:nvPicPr>
                  <pic:blipFill>
                    <a:blip xmlns:r="http://schemas.openxmlformats.org/officeDocument/2006/relationships" r:embed="Rcf767ef57dd54b0b" cstate="print"/>
                    <a:stretch>
                      <a:fillRect/>
                    </a:stretch>
                  </pic:blipFill>
                  <pic:spPr>
                    <a:xfrm>
                      <a:off x="0" y="0"/>
                      <a:ext cx="5486400" cy="3918857"/>
                    </a:xfrm>
                    <a:prstGeom prst="rect">
                      <a:avLst/>
                    </a:prstGeom>
                  </pic:spPr>
                </pic:pic>
              </a:graphicData>
            </a:graphic>
          </wp:inline>
        </w:drawing>
      </w:r>
    </w:p>
    <w:p>
      <w:pPr>
        <w:pStyle w:val="Caption"/>
      </w:pPr>
      <w:r>
        <w:t xml:space="preserve">Figure 1. Degree distribution (log–log CCDF) with the fitted power law. The tail is well described by a power law with exponent alpha = 2.54.</w:t>
      </w:r>
    </w:p>
    <w:p>
      <w:pPr>
        <w:pStyle w:val="BodyText"/>
      </w:pPr>
      <w:r>
        <w:t xml:space="preserve">Verdict: the network is heavy-tailed and consistent with scale-free behaviour in the tail (alpha = 2.54 lies in the canonical 2–3 band), but because the power-law-versus-lognormal test is not decisive we deliberately avoid asserting a strictly scale-free network. This hedged conclusion is the statistically honest reading.</w:t>
      </w:r>
    </w:p>
    <w:p>
      <w:pPr>
        <w:pStyle w:val="Heading2"/>
      </w:pPr>
      <w:r>
        <w:t xml:space="preserve">3.2 Clustering and Transitivity</w:t>
      </w:r>
    </w:p>
    <w:p>
      <w:pPr>
        <w:pStyle w:val="BodyText"/>
      </w:pPr>
      <w:r>
        <w:t xml:space="preserve">Global transitivity is 0.0184 — reproducing the dataset README value exactly — and the average local clustering coefficient is 0.160. Although 0.0184 appears small in absolute terms, the graph density is only 0.000481, so an Erdos–Renyi random graph of the same density would have clustering of approximately that value. The observed transitivity is therefore about 38.2 times the random-graph baseline, which is strong evidence of genuine local structure despite the sparsity of the graph (Figure 2).</w:t>
      </w:r>
    </w:p>
    <w:p>
      <w:pPr>
        <w:jc w:val="center"/>
      </w:pPr>
      <w:r>
        <w:drawing>
          <wp:inline xmlns:wp="http://schemas.openxmlformats.org/drawingml/2006/wordprocessingDrawing" distT="0" distB="0" distL="0" distR="0">
            <wp:extent cx="5486400" cy="3918857"/>
            <wp:effectExtent l="0" t="0" r="0" b="0"/>
            <wp:docPr id="2" name="Figure2" descr="Distribution of per-node local clustering coefficients (log-scaled frequency). Most nodes sit in low-density neighbourhoods, with a long tail of highly clustered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82dd6b1998f34f34" cstate="print"/>
                    <a:stretch>
                      <a:fillRect/>
                    </a:stretch>
                  </pic:blipFill>
                  <pic:spPr>
                    <a:xfrm>
                      <a:off x="0" y="0"/>
                      <a:ext cx="5486400" cy="3918857"/>
                    </a:xfrm>
                    <a:prstGeom prst="rect">
                      <a:avLst/>
                    </a:prstGeom>
                  </pic:spPr>
                </pic:pic>
              </a:graphicData>
            </a:graphic>
          </wp:inline>
        </w:drawing>
      </w:r>
    </w:p>
    <w:p>
      <w:pPr>
        <w:pStyle w:val="Caption"/>
      </w:pPr>
      <w:r>
        <w:t xml:space="preserve">Figure 2. Distribution of per-node local clustering coefficients (log-scaled frequency). Most nodes sit in low-density neighbourhoods, with a long tail of highly clustered nodes.</w:t>
      </w:r>
    </w:p>
    <w:p>
      <w:pPr>
        <w:pStyle w:val="Heading2"/>
      </w:pPr>
      <w:r>
        <w:t xml:space="preserve">3.3 Node Feature Distributions</w:t>
      </w:r>
    </w:p>
    <w:p>
      <w:pPr>
        <w:pStyle w:val="BodyText"/>
      </w:pPr>
      <w:r>
        <w:t xml:space="preserve">The network is heavily English-dominated: of 21 distinct languages, English accounts for 74.0% of nodes (Figure 3). Account behaviour is split — 48.5% of streamers are affiliates and 47.0% carry the mature flag — while churn is low at 3.1% dead accounts. View counts are extremely right-skewed (Figure 4): the median is 4,117 but the mean is 188,162 and the maximum exceeds 384 million, which is why all view-based analysis uses a log transform. Account lifetime is more symmetric, with a median of 1,540 days (Figure 5). Table 1 summarises the numeric and binary attributes.</w:t>
      </w:r>
    </w:p>
    <w:p>
      <w:pPr>
        <w:jc w:val="center"/>
      </w:pPr>
      <w:r>
        <w:drawing>
          <wp:inline xmlns:wp="http://schemas.openxmlformats.org/drawingml/2006/wordprocessingDrawing" distT="0" distB="0" distL="0" distR="0">
            <wp:extent cx="5486400" cy="3429000"/>
            <wp:effectExtent l="0" t="0" r="0" b="0"/>
            <wp:docPr id="3" name="Figure3" descr="Broadcast-language distribution (top 10 languages plus an 'other'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
                    <pic:cNvPicPr/>
                  </pic:nvPicPr>
                  <pic:blipFill>
                    <a:blip xmlns:r="http://schemas.openxmlformats.org/officeDocument/2006/relationships" r:embed="R92156473ddb843c9" cstate="print"/>
                    <a:stretch>
                      <a:fillRect/>
                    </a:stretch>
                  </pic:blipFill>
                  <pic:spPr>
                    <a:xfrm>
                      <a:off x="0" y="0"/>
                      <a:ext cx="5486400" cy="3429000"/>
                    </a:xfrm>
                    <a:prstGeom prst="rect">
                      <a:avLst/>
                    </a:prstGeom>
                  </pic:spPr>
                </pic:pic>
              </a:graphicData>
            </a:graphic>
          </wp:inline>
        </w:drawing>
      </w:r>
    </w:p>
    <w:p>
      <w:pPr>
        <w:pStyle w:val="Caption"/>
      </w:pPr>
      <w:r>
        <w:t xml:space="preserve">Figure 3. Broadcast-language distribution (top 10 languages plus an 'other' bucket).</w:t>
      </w:r>
    </w:p>
    <w:p>
      <w:pPr>
        <w:jc w:val="center"/>
      </w:pPr>
      <w:r>
        <w:drawing>
          <wp:inline xmlns:wp="http://schemas.openxmlformats.org/drawingml/2006/wordprocessingDrawing" distT="0" distB="0" distL="0" distR="0">
            <wp:extent cx="5486400" cy="3918857"/>
            <wp:effectExtent l="0" t="0" r="0" b="0"/>
            <wp:docPr id="4" name="Figure4" descr="View-count distribution on a log10 scale, revealing the heavy right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
                    <pic:cNvPicPr/>
                  </pic:nvPicPr>
                  <pic:blipFill>
                    <a:blip xmlns:r="http://schemas.openxmlformats.org/officeDocument/2006/relationships" r:embed="R9b9b2fb5748e4d3a" cstate="print"/>
                    <a:stretch>
                      <a:fillRect/>
                    </a:stretch>
                  </pic:blipFill>
                  <pic:spPr>
                    <a:xfrm>
                      <a:off x="0" y="0"/>
                      <a:ext cx="5486400" cy="3918857"/>
                    </a:xfrm>
                    <a:prstGeom prst="rect">
                      <a:avLst/>
                    </a:prstGeom>
                  </pic:spPr>
                </pic:pic>
              </a:graphicData>
            </a:graphic>
          </wp:inline>
        </w:drawing>
      </w:r>
    </w:p>
    <w:p>
      <w:pPr>
        <w:pStyle w:val="Caption"/>
      </w:pPr>
      <w:r>
        <w:t xml:space="preserve">Figure 4. View-count distribution on a log10 scale, revealing the heavy right tail.</w:t>
      </w:r>
    </w:p>
    <w:p>
      <w:pPr>
        <w:jc w:val="center"/>
      </w:pPr>
      <w:r>
        <w:drawing>
          <wp:inline xmlns:wp="http://schemas.openxmlformats.org/drawingml/2006/wordprocessingDrawing" distT="0" distB="0" distL="0" distR="0">
            <wp:extent cx="5486400" cy="3918857"/>
            <wp:effectExtent l="0" t="0" r="0" b="0"/>
            <wp:docPr id="5" name="Figure5" descr="Account-lifetime distribution i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
                    <pic:cNvPicPr/>
                  </pic:nvPicPr>
                  <pic:blipFill>
                    <a:blip xmlns:r="http://schemas.openxmlformats.org/officeDocument/2006/relationships" r:embed="R7f88eb6c2d5d40ab" cstate="print"/>
                    <a:stretch>
                      <a:fillRect/>
                    </a:stretch>
                  </pic:blipFill>
                  <pic:spPr>
                    <a:xfrm>
                      <a:off x="0" y="0"/>
                      <a:ext cx="5486400" cy="3918857"/>
                    </a:xfrm>
                    <a:prstGeom prst="rect">
                      <a:avLst/>
                    </a:prstGeom>
                  </pic:spPr>
                </pic:pic>
              </a:graphicData>
            </a:graphic>
          </wp:inline>
        </w:drawing>
      </w:r>
    </w:p>
    <w:p>
      <w:pPr>
        <w:pStyle w:val="Caption"/>
      </w:pPr>
      <w:r>
        <w:t xml:space="preserve">Figure 5. Account-lifetime distribution in days.</w:t>
      </w:r>
    </w:p>
    <w:tbl>
      <w:tblPr>
        <w:tblW w:w="5000" w:type="pct"/>
        <w:tblBorders>
          <w:top w:val="single" w:sz="12"/>
          <w:left w:val="none"/>
          <w:bottom w:val="single" w:sz="12"/>
          <w:right w:val="none"/>
          <w:insideH w:val="none"/>
          <w:insideV w:val="none"/>
        </w:tblBorders>
        <w:tblLayout w:type="autofit"/>
      </w:tblPr>
      <w:tblGrid>
        <w:gridCol w:w="1872"/>
        <w:gridCol w:w="1872"/>
        <w:gridCol w:w="1872"/>
        <w:gridCol w:w="1872"/>
        <w:gridCol w:w="1872"/>
      </w:tblGrid>
      <w:tr>
        <w:trPr>
          <w:tblHeader/>
        </w:trPr>
        <w:tc>
          <w:tcPr>
            <w:tcBorders>
              <w:bottom w:val="single" w:sz="6"/>
            </w:tcBorders>
            <w:vAlign w:val="center"/>
          </w:tcPr>
          <w:p>
            <w:pPr>
              <w:spacing w:before="20" w:after="20"/>
            </w:pPr>
            <w:r>
              <w:rPr>
                <w:rFonts w:ascii="Times New Roman" w:hAnsi="Times New Roman"/>
                <w:b/>
                <w:sz w:val="20"/>
              </w:rPr>
              <w:t xml:space="preserve">Attribute</w:t>
            </w:r>
          </w:p>
        </w:tc>
        <w:tc>
          <w:tcPr>
            <w:tcBorders>
              <w:bottom w:val="single" w:sz="6"/>
            </w:tcBorders>
            <w:vAlign w:val="center"/>
          </w:tcPr>
          <w:p>
            <w:pPr>
              <w:spacing w:before="20" w:after="20"/>
            </w:pPr>
            <w:r>
              <w:rPr>
                <w:rFonts w:ascii="Times New Roman" w:hAnsi="Times New Roman"/>
                <w:b/>
                <w:sz w:val="20"/>
              </w:rPr>
              <w:t xml:space="preserve">Mean</w:t>
            </w:r>
          </w:p>
        </w:tc>
        <w:tc>
          <w:tcPr>
            <w:tcBorders>
              <w:bottom w:val="single" w:sz="6"/>
            </w:tcBorders>
            <w:vAlign w:val="center"/>
          </w:tcPr>
          <w:p>
            <w:pPr>
              <w:spacing w:before="20" w:after="20"/>
            </w:pPr>
            <w:r>
              <w:rPr>
                <w:rFonts w:ascii="Times New Roman" w:hAnsi="Times New Roman"/>
                <w:b/>
                <w:sz w:val="20"/>
              </w:rPr>
              <w:t xml:space="preserve">Median</w:t>
            </w:r>
          </w:p>
        </w:tc>
        <w:tc>
          <w:tcPr>
            <w:tcBorders>
              <w:bottom w:val="single" w:sz="6"/>
            </w:tcBorders>
            <w:vAlign w:val="center"/>
          </w:tcPr>
          <w:p>
            <w:pPr>
              <w:spacing w:before="20" w:after="20"/>
            </w:pPr>
            <w:r>
              <w:rPr>
                <w:rFonts w:ascii="Times New Roman" w:hAnsi="Times New Roman"/>
                <w:b/>
                <w:sz w:val="20"/>
              </w:rPr>
              <w:t xml:space="preserve">Min</w:t>
            </w:r>
          </w:p>
        </w:tc>
        <w:tc>
          <w:tcPr>
            <w:tcBorders>
              <w:bottom w:val="single" w:sz="6"/>
            </w:tcBorders>
            <w:vAlign w:val="center"/>
          </w:tcPr>
          <w:p>
            <w:pPr>
              <w:spacing w:before="20" w:after="20"/>
            </w:pPr>
            <w:r>
              <w:rPr>
                <w:rFonts w:ascii="Times New Roman" w:hAnsi="Times New Roman"/>
                <w:b/>
                <w:sz w:val="20"/>
              </w:rPr>
              <w:t xml:space="preserve">Max</w:t>
            </w:r>
          </w:p>
        </w:tc>
      </w:tr>
      <w:tr>
        <w:tc>
          <w:tcPr>
            <w:vAlign w:val="center"/>
          </w:tcPr>
          <w:p>
            <w:pPr>
              <w:spacing w:before="20" w:after="20"/>
            </w:pPr>
            <w:r>
              <w:rPr>
                <w:rFonts w:ascii="Times New Roman" w:hAnsi="Times New Roman"/>
                <w:sz w:val="20"/>
              </w:rPr>
              <w:t xml:space="preserve">views</w:t>
            </w:r>
          </w:p>
        </w:tc>
        <w:tc>
          <w:tcPr>
            <w:vAlign w:val="center"/>
          </w:tcPr>
          <w:p>
            <w:pPr>
              <w:spacing w:before="20" w:after="20"/>
            </w:pPr>
            <w:r>
              <w:rPr>
                <w:rFonts w:ascii="Times New Roman" w:hAnsi="Times New Roman"/>
                <w:sz w:val="20"/>
              </w:rPr>
              <w:t xml:space="preserve">188,162</w:t>
            </w:r>
          </w:p>
        </w:tc>
        <w:tc>
          <w:tcPr>
            <w:vAlign w:val="center"/>
          </w:tcPr>
          <w:p>
            <w:pPr>
              <w:spacing w:before="20" w:after="20"/>
            </w:pPr>
            <w:r>
              <w:rPr>
                <w:rFonts w:ascii="Times New Roman" w:hAnsi="Times New Roman"/>
                <w:sz w:val="20"/>
              </w:rPr>
              <w:t xml:space="preserve">4,117</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384,396,587</w:t>
            </w:r>
          </w:p>
        </w:tc>
      </w:tr>
      <w:tr>
        <w:tc>
          <w:tcPr>
            <w:vAlign w:val="center"/>
          </w:tcPr>
          <w:p>
            <w:pPr>
              <w:spacing w:before="20" w:after="20"/>
            </w:pPr>
            <w:r>
              <w:rPr>
                <w:rFonts w:ascii="Times New Roman" w:hAnsi="Times New Roman"/>
                <w:sz w:val="20"/>
              </w:rPr>
              <w:t xml:space="preserve">life_time (days)</w:t>
            </w:r>
          </w:p>
        </w:tc>
        <w:tc>
          <w:tcPr>
            <w:vAlign w:val="center"/>
          </w:tcPr>
          <w:p>
            <w:pPr>
              <w:spacing w:before="20" w:after="20"/>
            </w:pPr>
            <w:r>
              <w:rPr>
                <w:rFonts w:ascii="Times New Roman" w:hAnsi="Times New Roman"/>
                <w:sz w:val="20"/>
              </w:rPr>
              <w:t xml:space="preserve">1,541.8</w:t>
            </w:r>
          </w:p>
        </w:tc>
        <w:tc>
          <w:tcPr>
            <w:vAlign w:val="center"/>
          </w:tcPr>
          <w:p>
            <w:pPr>
              <w:spacing w:before="20" w:after="20"/>
            </w:pPr>
            <w:r>
              <w:rPr>
                <w:rFonts w:ascii="Times New Roman" w:hAnsi="Times New Roman"/>
                <w:sz w:val="20"/>
              </w:rPr>
              <w:t xml:space="preserve">1,540</w:t>
            </w:r>
          </w:p>
        </w:tc>
        <w:tc>
          <w:tcPr>
            <w:vAlign w:val="center"/>
          </w:tcPr>
          <w:p>
            <w:pPr>
              <w:spacing w:before="20" w:after="20"/>
            </w:pPr>
            <w:r>
              <w:rPr>
                <w:rFonts w:ascii="Times New Roman" w:hAnsi="Times New Roman"/>
                <w:sz w:val="20"/>
              </w:rPr>
              <w:t xml:space="preserve">11</w:t>
            </w:r>
          </w:p>
        </w:tc>
        <w:tc>
          <w:tcPr>
            <w:vAlign w:val="center"/>
          </w:tcPr>
          <w:p>
            <w:pPr>
              <w:spacing w:before="20" w:after="20"/>
            </w:pPr>
            <w:r>
              <w:rPr>
                <w:rFonts w:ascii="Times New Roman" w:hAnsi="Times New Roman"/>
                <w:sz w:val="20"/>
              </w:rPr>
              <w:t xml:space="preserve">4,161</w:t>
            </w:r>
          </w:p>
        </w:tc>
      </w:tr>
      <w:tr>
        <w:tc>
          <w:tcPr>
            <w:vAlign w:val="center"/>
          </w:tcPr>
          <w:p>
            <w:pPr>
              <w:spacing w:before="20" w:after="20"/>
            </w:pPr>
            <w:r>
              <w:rPr>
                <w:rFonts w:ascii="Times New Roman" w:hAnsi="Times New Roman"/>
                <w:sz w:val="20"/>
              </w:rPr>
              <w:t xml:space="preserve">affiliate (rate)</w:t>
            </w:r>
          </w:p>
        </w:tc>
        <w:tc>
          <w:tcPr>
            <w:vAlign w:val="center"/>
          </w:tcPr>
          <w:p>
            <w:pPr>
              <w:spacing w:before="20" w:after="20"/>
            </w:pPr>
            <w:r>
              <w:rPr>
                <w:rFonts w:ascii="Times New Roman" w:hAnsi="Times New Roman"/>
                <w:sz w:val="20"/>
              </w:rPr>
              <w:t xml:space="preserve">0.485</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1</w:t>
            </w:r>
          </w:p>
        </w:tc>
      </w:tr>
      <w:tr>
        <w:tc>
          <w:tcPr>
            <w:vAlign w:val="center"/>
          </w:tcPr>
          <w:p>
            <w:pPr>
              <w:spacing w:before="20" w:after="20"/>
            </w:pPr>
            <w:r>
              <w:rPr>
                <w:rFonts w:ascii="Times New Roman" w:hAnsi="Times New Roman"/>
                <w:sz w:val="20"/>
              </w:rPr>
              <w:t xml:space="preserve">dead_account / churn (rate)</w:t>
            </w:r>
          </w:p>
        </w:tc>
        <w:tc>
          <w:tcPr>
            <w:vAlign w:val="center"/>
          </w:tcPr>
          <w:p>
            <w:pPr>
              <w:spacing w:before="20" w:after="20"/>
            </w:pPr>
            <w:r>
              <w:rPr>
                <w:rFonts w:ascii="Times New Roman" w:hAnsi="Times New Roman"/>
                <w:sz w:val="20"/>
              </w:rPr>
              <w:t xml:space="preserve">0.031</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1</w:t>
            </w:r>
          </w:p>
        </w:tc>
      </w:tr>
      <w:tr>
        <w:tc>
          <w:tcPr>
            <w:vAlign w:val="center"/>
          </w:tcPr>
          <w:p>
            <w:pPr>
              <w:spacing w:before="20" w:after="20"/>
            </w:pPr>
            <w:r>
              <w:rPr>
                <w:rFonts w:ascii="Times New Roman" w:hAnsi="Times New Roman"/>
                <w:sz w:val="20"/>
              </w:rPr>
              <w:t xml:space="preserve">mature (rate)</w:t>
            </w:r>
          </w:p>
        </w:tc>
        <w:tc>
          <w:tcPr>
            <w:vAlign w:val="center"/>
          </w:tcPr>
          <w:p>
            <w:pPr>
              <w:spacing w:before="20" w:after="20"/>
            </w:pPr>
            <w:r>
              <w:rPr>
                <w:rFonts w:ascii="Times New Roman" w:hAnsi="Times New Roman"/>
                <w:sz w:val="20"/>
              </w:rPr>
              <w:t xml:space="preserve">0.470</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1</w:t>
            </w:r>
          </w:p>
        </w:tc>
      </w:tr>
    </w:tbl>
    <w:p>
      <w:pPr>
        <w:pStyle w:val="Caption"/>
      </w:pPr>
      <w:r>
        <w:t xml:space="preserve">Table 1. Summary statistics for node attributes (n = 168,114). For the binary attributes the mean equals the prevalence rate.</w:t>
      </w:r>
    </w:p>
    <w:p/>
    <w:p>
      <w:pPr>
        <w:pStyle w:val="Heading2"/>
      </w:pPr>
      <w:r>
        <w:t xml:space="preserve">3.4 Correlation: Structural Features versus Attributes</w:t>
      </w:r>
    </w:p>
    <w:p>
      <w:pPr>
        <w:pStyle w:val="BodyText"/>
      </w:pPr>
      <w:r>
        <w:t xml:space="preserve">Degree and PageRank are almost perfectly rank-correlated (Spearman 0.99), as expected on an undirected graph. The strongest structural-to-attribute relationship is between PageRank and log views (Spearman 0.55), with degree and log views close behind (0.51): structurally central streamers tend to be more viewed. Affiliate status correlates moderately with views (0.38) but only weakly with structural position (around 0.22–0.24). Local clustering is essentially uncorrelated or slightly negatively correlated with the other features, consistent with high-degree hubs sitting in sparser local neighbourhoods. Table 2 reports the full Spearman matrix; Figures 6 and 7 show the Spearman and Pearson heatmaps.</w:t>
      </w:r>
    </w:p>
    <w:tbl>
      <w:tblPr>
        <w:tblW w:w="5000" w:type="pct"/>
        <w:tblBorders>
          <w:top w:val="single" w:sz="12"/>
          <w:left w:val="none"/>
          <w:bottom w:val="single" w:sz="12"/>
          <w:right w:val="none"/>
          <w:insideH w:val="none"/>
          <w:insideV w:val="none"/>
        </w:tblBorders>
        <w:tblLayout w:type="autofit"/>
      </w:tblPr>
      <w:tblGrid>
        <w:gridCol w:w="1337"/>
        <w:gridCol w:w="1337"/>
        <w:gridCol w:w="1337"/>
        <w:gridCol w:w="1337"/>
        <w:gridCol w:w="1337"/>
        <w:gridCol w:w="1337"/>
        <w:gridCol w:w="1337"/>
      </w:tblGrid>
      <w:tr>
        <w:trPr>
          <w:tblHeader/>
        </w:trPr>
        <w:tc>
          <w:tcPr>
            <w:tcBorders>
              <w:bottom w:val="single" w:sz="6"/>
            </w:tcBorders>
            <w:vAlign w:val="center"/>
          </w:tcPr>
          <w:p>
            <w:pPr>
              <w:spacing w:before="20" w:after="20"/>
            </w:pPr>
            <w:r>
              <w:rPr>
                <w:rFonts w:ascii="Times New Roman" w:hAnsi="Times New Roman"/>
                <w:b/>
                <w:sz w:val="20"/>
              </w:rPr>
              <w:t xml:space="preserve"/>
            </w:r>
          </w:p>
        </w:tc>
        <w:tc>
          <w:tcPr>
            <w:tcBorders>
              <w:bottom w:val="single" w:sz="6"/>
            </w:tcBorders>
            <w:vAlign w:val="center"/>
          </w:tcPr>
          <w:p>
            <w:pPr>
              <w:spacing w:before="20" w:after="20"/>
            </w:pPr>
            <w:r>
              <w:rPr>
                <w:rFonts w:ascii="Times New Roman" w:hAnsi="Times New Roman"/>
                <w:b/>
                <w:sz w:val="20"/>
              </w:rPr>
              <w:t xml:space="preserve">degree</w:t>
            </w:r>
          </w:p>
        </w:tc>
        <w:tc>
          <w:tcPr>
            <w:tcBorders>
              <w:bottom w:val="single" w:sz="6"/>
            </w:tcBorders>
            <w:vAlign w:val="center"/>
          </w:tcPr>
          <w:p>
            <w:pPr>
              <w:spacing w:before="20" w:after="20"/>
            </w:pPr>
            <w:r>
              <w:rPr>
                <w:rFonts w:ascii="Times New Roman" w:hAnsi="Times New Roman"/>
                <w:b/>
                <w:sz w:val="20"/>
              </w:rPr>
              <w:t xml:space="preserve">pagerank</w:t>
            </w:r>
          </w:p>
        </w:tc>
        <w:tc>
          <w:tcPr>
            <w:tcBorders>
              <w:bottom w:val="single" w:sz="6"/>
            </w:tcBorders>
            <w:vAlign w:val="center"/>
          </w:tcPr>
          <w:p>
            <w:pPr>
              <w:spacing w:before="20" w:after="20"/>
            </w:pPr>
            <w:r>
              <w:rPr>
                <w:rFonts w:ascii="Times New Roman" w:hAnsi="Times New Roman"/>
                <w:b/>
                <w:sz w:val="20"/>
              </w:rPr>
              <w:t xml:space="preserve">local_clust.</w:t>
            </w:r>
          </w:p>
        </w:tc>
        <w:tc>
          <w:tcPr>
            <w:tcBorders>
              <w:bottom w:val="single" w:sz="6"/>
            </w:tcBorders>
            <w:vAlign w:val="center"/>
          </w:tcPr>
          <w:p>
            <w:pPr>
              <w:spacing w:before="20" w:after="20"/>
            </w:pPr>
            <w:r>
              <w:rPr>
                <w:rFonts w:ascii="Times New Roman" w:hAnsi="Times New Roman"/>
                <w:b/>
                <w:sz w:val="20"/>
              </w:rPr>
              <w:t xml:space="preserve">log_views</w:t>
            </w:r>
          </w:p>
        </w:tc>
        <w:tc>
          <w:tcPr>
            <w:tcBorders>
              <w:bottom w:val="single" w:sz="6"/>
            </w:tcBorders>
            <w:vAlign w:val="center"/>
          </w:tcPr>
          <w:p>
            <w:pPr>
              <w:spacing w:before="20" w:after="20"/>
            </w:pPr>
            <w:r>
              <w:rPr>
                <w:rFonts w:ascii="Times New Roman" w:hAnsi="Times New Roman"/>
                <w:b/>
                <w:sz w:val="20"/>
              </w:rPr>
              <w:t xml:space="preserve">affiliate</w:t>
            </w:r>
          </w:p>
        </w:tc>
        <w:tc>
          <w:tcPr>
            <w:tcBorders>
              <w:bottom w:val="single" w:sz="6"/>
            </w:tcBorders>
            <w:vAlign w:val="center"/>
          </w:tcPr>
          <w:p>
            <w:pPr>
              <w:spacing w:before="20" w:after="20"/>
            </w:pPr>
            <w:r>
              <w:rPr>
                <w:rFonts w:ascii="Times New Roman" w:hAnsi="Times New Roman"/>
                <w:b/>
                <w:sz w:val="20"/>
              </w:rPr>
              <w:t xml:space="preserve">life_time</w:t>
            </w:r>
          </w:p>
        </w:tc>
      </w:tr>
      <w:tr>
        <w:tc>
          <w:tcPr>
            <w:vAlign w:val="center"/>
          </w:tcPr>
          <w:p>
            <w:pPr>
              <w:spacing w:before="20" w:after="20"/>
            </w:pPr>
            <w:r>
              <w:rPr>
                <w:rFonts w:ascii="Times New Roman" w:hAnsi="Times New Roman"/>
                <w:sz w:val="20"/>
              </w:rPr>
              <w:t xml:space="preserve">degree</w:t>
            </w:r>
          </w:p>
        </w:tc>
        <w:tc>
          <w:tcPr>
            <w:vAlign w:val="center"/>
          </w:tcPr>
          <w:p>
            <w:pPr>
              <w:spacing w:before="20" w:after="20"/>
            </w:pPr>
            <w:r>
              <w:rPr>
                <w:rFonts w:ascii="Times New Roman" w:hAnsi="Times New Roman"/>
                <w:sz w:val="20"/>
              </w:rPr>
              <w:t xml:space="preserve">1.00</w:t>
            </w:r>
          </w:p>
        </w:tc>
        <w:tc>
          <w:tcPr>
            <w:vAlign w:val="center"/>
          </w:tcPr>
          <w:p>
            <w:pPr>
              <w:spacing w:before="20" w:after="20"/>
            </w:pPr>
            <w:r>
              <w:rPr>
                <w:rFonts w:ascii="Times New Roman" w:hAnsi="Times New Roman"/>
                <w:sz w:val="20"/>
              </w:rPr>
              <w:t xml:space="preserve">0.99</w:t>
            </w:r>
          </w:p>
        </w:tc>
        <w:tc>
          <w:tcPr>
            <w:vAlign w:val="center"/>
          </w:tcPr>
          <w:p>
            <w:pPr>
              <w:spacing w:before="20" w:after="20"/>
            </w:pPr>
            <w:r>
              <w:rPr>
                <w:rFonts w:ascii="Times New Roman" w:hAnsi="Times New Roman"/>
                <w:sz w:val="20"/>
              </w:rPr>
              <w:t xml:space="preserve">-0.08</w:t>
            </w:r>
          </w:p>
        </w:tc>
        <w:tc>
          <w:tcPr>
            <w:vAlign w:val="center"/>
          </w:tcPr>
          <w:p>
            <w:pPr>
              <w:spacing w:before="20" w:after="20"/>
            </w:pPr>
            <w:r>
              <w:rPr>
                <w:rFonts w:ascii="Times New Roman" w:hAnsi="Times New Roman"/>
                <w:sz w:val="20"/>
              </w:rPr>
              <w:t xml:space="preserve">0.51</w:t>
            </w:r>
          </w:p>
        </w:tc>
        <w:tc>
          <w:tcPr>
            <w:vAlign w:val="center"/>
          </w:tcPr>
          <w:p>
            <w:pPr>
              <w:spacing w:before="20" w:after="20"/>
            </w:pPr>
            <w:r>
              <w:rPr>
                <w:rFonts w:ascii="Times New Roman" w:hAnsi="Times New Roman"/>
                <w:sz w:val="20"/>
              </w:rPr>
              <w:t xml:space="preserve">0.22</w:t>
            </w:r>
          </w:p>
        </w:tc>
        <w:tc>
          <w:tcPr>
            <w:vAlign w:val="center"/>
          </w:tcPr>
          <w:p>
            <w:pPr>
              <w:spacing w:before="20" w:after="20"/>
            </w:pPr>
            <w:r>
              <w:rPr>
                <w:rFonts w:ascii="Times New Roman" w:hAnsi="Times New Roman"/>
                <w:sz w:val="20"/>
              </w:rPr>
              <w:t xml:space="preserve">0.24</w:t>
            </w:r>
          </w:p>
        </w:tc>
      </w:tr>
      <w:tr>
        <w:tc>
          <w:tcPr>
            <w:vAlign w:val="center"/>
          </w:tcPr>
          <w:p>
            <w:pPr>
              <w:spacing w:before="20" w:after="20"/>
            </w:pPr>
            <w:r>
              <w:rPr>
                <w:rFonts w:ascii="Times New Roman" w:hAnsi="Times New Roman"/>
                <w:sz w:val="20"/>
              </w:rPr>
              <w:t xml:space="preserve">pagerank</w:t>
            </w:r>
          </w:p>
        </w:tc>
        <w:tc>
          <w:tcPr>
            <w:vAlign w:val="center"/>
          </w:tcPr>
          <w:p>
            <w:pPr>
              <w:spacing w:before="20" w:after="20"/>
            </w:pPr>
            <w:r>
              <w:rPr>
                <w:rFonts w:ascii="Times New Roman" w:hAnsi="Times New Roman"/>
                <w:sz w:val="20"/>
              </w:rPr>
              <w:t xml:space="preserve">0.99</w:t>
            </w:r>
          </w:p>
        </w:tc>
        <w:tc>
          <w:tcPr>
            <w:vAlign w:val="center"/>
          </w:tcPr>
          <w:p>
            <w:pPr>
              <w:spacing w:before="20" w:after="20"/>
            </w:pPr>
            <w:r>
              <w:rPr>
                <w:rFonts w:ascii="Times New Roman" w:hAnsi="Times New Roman"/>
                <w:sz w:val="20"/>
              </w:rPr>
              <w:t xml:space="preserve">1.00</w:t>
            </w:r>
          </w:p>
        </w:tc>
        <w:tc>
          <w:tcPr>
            <w:vAlign w:val="center"/>
          </w:tcPr>
          <w:p>
            <w:pPr>
              <w:spacing w:before="20" w:after="20"/>
            </w:pPr>
            <w:r>
              <w:rPr>
                <w:rFonts w:ascii="Times New Roman" w:hAnsi="Times New Roman"/>
                <w:sz w:val="20"/>
              </w:rPr>
              <w:t xml:space="preserve">-0.10</w:t>
            </w:r>
          </w:p>
        </w:tc>
        <w:tc>
          <w:tcPr>
            <w:vAlign w:val="center"/>
          </w:tcPr>
          <w:p>
            <w:pPr>
              <w:spacing w:before="20" w:after="20"/>
            </w:pPr>
            <w:r>
              <w:rPr>
                <w:rFonts w:ascii="Times New Roman" w:hAnsi="Times New Roman"/>
                <w:sz w:val="20"/>
              </w:rPr>
              <w:t xml:space="preserve">0.55</w:t>
            </w:r>
          </w:p>
        </w:tc>
        <w:tc>
          <w:tcPr>
            <w:vAlign w:val="center"/>
          </w:tcPr>
          <w:p>
            <w:pPr>
              <w:spacing w:before="20" w:after="20"/>
            </w:pPr>
            <w:r>
              <w:rPr>
                <w:rFonts w:ascii="Times New Roman" w:hAnsi="Times New Roman"/>
                <w:sz w:val="20"/>
              </w:rPr>
              <w:t xml:space="preserve">0.24</w:t>
            </w:r>
          </w:p>
        </w:tc>
        <w:tc>
          <w:tcPr>
            <w:vAlign w:val="center"/>
          </w:tcPr>
          <w:p>
            <w:pPr>
              <w:spacing w:before="20" w:after="20"/>
            </w:pPr>
            <w:r>
              <w:rPr>
                <w:rFonts w:ascii="Times New Roman" w:hAnsi="Times New Roman"/>
                <w:sz w:val="20"/>
              </w:rPr>
              <w:t xml:space="preserve">0.22</w:t>
            </w:r>
          </w:p>
        </w:tc>
      </w:tr>
      <w:tr>
        <w:tc>
          <w:tcPr>
            <w:vAlign w:val="center"/>
          </w:tcPr>
          <w:p>
            <w:pPr>
              <w:spacing w:before="20" w:after="20"/>
            </w:pPr>
            <w:r>
              <w:rPr>
                <w:rFonts w:ascii="Times New Roman" w:hAnsi="Times New Roman"/>
                <w:sz w:val="20"/>
              </w:rPr>
              <w:t xml:space="preserve">local_clust.</w:t>
            </w:r>
          </w:p>
        </w:tc>
        <w:tc>
          <w:tcPr>
            <w:vAlign w:val="center"/>
          </w:tcPr>
          <w:p>
            <w:pPr>
              <w:spacing w:before="20" w:after="20"/>
            </w:pPr>
            <w:r>
              <w:rPr>
                <w:rFonts w:ascii="Times New Roman" w:hAnsi="Times New Roman"/>
                <w:sz w:val="20"/>
              </w:rPr>
              <w:t xml:space="preserve">-0.08</w:t>
            </w:r>
          </w:p>
        </w:tc>
        <w:tc>
          <w:tcPr>
            <w:vAlign w:val="center"/>
          </w:tcPr>
          <w:p>
            <w:pPr>
              <w:spacing w:before="20" w:after="20"/>
            </w:pPr>
            <w:r>
              <w:rPr>
                <w:rFonts w:ascii="Times New Roman" w:hAnsi="Times New Roman"/>
                <w:sz w:val="20"/>
              </w:rPr>
              <w:t xml:space="preserve">-0.10</w:t>
            </w:r>
          </w:p>
        </w:tc>
        <w:tc>
          <w:tcPr>
            <w:vAlign w:val="center"/>
          </w:tcPr>
          <w:p>
            <w:pPr>
              <w:spacing w:before="20" w:after="20"/>
            </w:pPr>
            <w:r>
              <w:rPr>
                <w:rFonts w:ascii="Times New Roman" w:hAnsi="Times New Roman"/>
                <w:sz w:val="20"/>
              </w:rPr>
              <w:t xml:space="preserve">1.00</w:t>
            </w:r>
          </w:p>
        </w:tc>
        <w:tc>
          <w:tcPr>
            <w:vAlign w:val="center"/>
          </w:tcPr>
          <w:p>
            <w:pPr>
              <w:spacing w:before="20" w:after="20"/>
            </w:pPr>
            <w:r>
              <w:rPr>
                <w:rFonts w:ascii="Times New Roman" w:hAnsi="Times New Roman"/>
                <w:sz w:val="20"/>
              </w:rPr>
              <w:t xml:space="preserve">-0.15</w:t>
            </w:r>
          </w:p>
        </w:tc>
        <w:tc>
          <w:tcPr>
            <w:vAlign w:val="center"/>
          </w:tcPr>
          <w:p>
            <w:pPr>
              <w:spacing w:before="20" w:after="20"/>
            </w:pPr>
            <w:r>
              <w:rPr>
                <w:rFonts w:ascii="Times New Roman" w:hAnsi="Times New Roman"/>
                <w:sz w:val="20"/>
              </w:rPr>
              <w:t xml:space="preserve">0.02</w:t>
            </w:r>
          </w:p>
        </w:tc>
        <w:tc>
          <w:tcPr>
            <w:vAlign w:val="center"/>
          </w:tcPr>
          <w:p>
            <w:pPr>
              <w:spacing w:before="20" w:after="20"/>
            </w:pPr>
            <w:r>
              <w:rPr>
                <w:rFonts w:ascii="Times New Roman" w:hAnsi="Times New Roman"/>
                <w:sz w:val="20"/>
              </w:rPr>
              <w:t xml:space="preserve">-0.07</w:t>
            </w:r>
          </w:p>
        </w:tc>
      </w:tr>
      <w:tr>
        <w:tc>
          <w:tcPr>
            <w:vAlign w:val="center"/>
          </w:tcPr>
          <w:p>
            <w:pPr>
              <w:spacing w:before="20" w:after="20"/>
            </w:pPr>
            <w:r>
              <w:rPr>
                <w:rFonts w:ascii="Times New Roman" w:hAnsi="Times New Roman"/>
                <w:sz w:val="20"/>
              </w:rPr>
              <w:t xml:space="preserve">log_views</w:t>
            </w:r>
          </w:p>
        </w:tc>
        <w:tc>
          <w:tcPr>
            <w:vAlign w:val="center"/>
          </w:tcPr>
          <w:p>
            <w:pPr>
              <w:spacing w:before="20" w:after="20"/>
            </w:pPr>
            <w:r>
              <w:rPr>
                <w:rFonts w:ascii="Times New Roman" w:hAnsi="Times New Roman"/>
                <w:sz w:val="20"/>
              </w:rPr>
              <w:t xml:space="preserve">0.51</w:t>
            </w:r>
          </w:p>
        </w:tc>
        <w:tc>
          <w:tcPr>
            <w:vAlign w:val="center"/>
          </w:tcPr>
          <w:p>
            <w:pPr>
              <w:spacing w:before="20" w:after="20"/>
            </w:pPr>
            <w:r>
              <w:rPr>
                <w:rFonts w:ascii="Times New Roman" w:hAnsi="Times New Roman"/>
                <w:sz w:val="20"/>
              </w:rPr>
              <w:t xml:space="preserve">0.55</w:t>
            </w:r>
          </w:p>
        </w:tc>
        <w:tc>
          <w:tcPr>
            <w:vAlign w:val="center"/>
          </w:tcPr>
          <w:p>
            <w:pPr>
              <w:spacing w:before="20" w:after="20"/>
            </w:pPr>
            <w:r>
              <w:rPr>
                <w:rFonts w:ascii="Times New Roman" w:hAnsi="Times New Roman"/>
                <w:sz w:val="20"/>
              </w:rPr>
              <w:t xml:space="preserve">-0.15</w:t>
            </w:r>
          </w:p>
        </w:tc>
        <w:tc>
          <w:tcPr>
            <w:vAlign w:val="center"/>
          </w:tcPr>
          <w:p>
            <w:pPr>
              <w:spacing w:before="20" w:after="20"/>
            </w:pPr>
            <w:r>
              <w:rPr>
                <w:rFonts w:ascii="Times New Roman" w:hAnsi="Times New Roman"/>
                <w:sz w:val="20"/>
              </w:rPr>
              <w:t xml:space="preserve">1.00</w:t>
            </w:r>
          </w:p>
        </w:tc>
        <w:tc>
          <w:tcPr>
            <w:vAlign w:val="center"/>
          </w:tcPr>
          <w:p>
            <w:pPr>
              <w:spacing w:before="20" w:after="20"/>
            </w:pPr>
            <w:r>
              <w:rPr>
                <w:rFonts w:ascii="Times New Roman" w:hAnsi="Times New Roman"/>
                <w:sz w:val="20"/>
              </w:rPr>
              <w:t xml:space="preserve">0.38</w:t>
            </w:r>
          </w:p>
        </w:tc>
        <w:tc>
          <w:tcPr>
            <w:vAlign w:val="center"/>
          </w:tcPr>
          <w:p>
            <w:pPr>
              <w:spacing w:before="20" w:after="20"/>
            </w:pPr>
            <w:r>
              <w:rPr>
                <w:rFonts w:ascii="Times New Roman" w:hAnsi="Times New Roman"/>
                <w:sz w:val="20"/>
              </w:rPr>
              <w:t xml:space="preserve">0.21</w:t>
            </w:r>
          </w:p>
        </w:tc>
      </w:tr>
      <w:tr>
        <w:tc>
          <w:tcPr>
            <w:vAlign w:val="center"/>
          </w:tcPr>
          <w:p>
            <w:pPr>
              <w:spacing w:before="20" w:after="20"/>
            </w:pPr>
            <w:r>
              <w:rPr>
                <w:rFonts w:ascii="Times New Roman" w:hAnsi="Times New Roman"/>
                <w:sz w:val="20"/>
              </w:rPr>
              <w:t xml:space="preserve">affiliate</w:t>
            </w:r>
          </w:p>
        </w:tc>
        <w:tc>
          <w:tcPr>
            <w:vAlign w:val="center"/>
          </w:tcPr>
          <w:p>
            <w:pPr>
              <w:spacing w:before="20" w:after="20"/>
            </w:pPr>
            <w:r>
              <w:rPr>
                <w:rFonts w:ascii="Times New Roman" w:hAnsi="Times New Roman"/>
                <w:sz w:val="20"/>
              </w:rPr>
              <w:t xml:space="preserve">0.22</w:t>
            </w:r>
          </w:p>
        </w:tc>
        <w:tc>
          <w:tcPr>
            <w:vAlign w:val="center"/>
          </w:tcPr>
          <w:p>
            <w:pPr>
              <w:spacing w:before="20" w:after="20"/>
            </w:pPr>
            <w:r>
              <w:rPr>
                <w:rFonts w:ascii="Times New Roman" w:hAnsi="Times New Roman"/>
                <w:sz w:val="20"/>
              </w:rPr>
              <w:t xml:space="preserve">0.24</w:t>
            </w:r>
          </w:p>
        </w:tc>
        <w:tc>
          <w:tcPr>
            <w:vAlign w:val="center"/>
          </w:tcPr>
          <w:p>
            <w:pPr>
              <w:spacing w:before="20" w:after="20"/>
            </w:pPr>
            <w:r>
              <w:rPr>
                <w:rFonts w:ascii="Times New Roman" w:hAnsi="Times New Roman"/>
                <w:sz w:val="20"/>
              </w:rPr>
              <w:t xml:space="preserve">0.02</w:t>
            </w:r>
          </w:p>
        </w:tc>
        <w:tc>
          <w:tcPr>
            <w:vAlign w:val="center"/>
          </w:tcPr>
          <w:p>
            <w:pPr>
              <w:spacing w:before="20" w:after="20"/>
            </w:pPr>
            <w:r>
              <w:rPr>
                <w:rFonts w:ascii="Times New Roman" w:hAnsi="Times New Roman"/>
                <w:sz w:val="20"/>
              </w:rPr>
              <w:t xml:space="preserve">0.38</w:t>
            </w:r>
          </w:p>
        </w:tc>
        <w:tc>
          <w:tcPr>
            <w:vAlign w:val="center"/>
          </w:tcPr>
          <w:p>
            <w:pPr>
              <w:spacing w:before="20" w:after="20"/>
            </w:pPr>
            <w:r>
              <w:rPr>
                <w:rFonts w:ascii="Times New Roman" w:hAnsi="Times New Roman"/>
                <w:sz w:val="20"/>
              </w:rPr>
              <w:t xml:space="preserve">1.00</w:t>
            </w:r>
          </w:p>
        </w:tc>
        <w:tc>
          <w:tcPr>
            <w:vAlign w:val="center"/>
          </w:tcPr>
          <w:p>
            <w:pPr>
              <w:spacing w:before="20" w:after="20"/>
            </w:pPr>
            <w:r>
              <w:rPr>
                <w:rFonts w:ascii="Times New Roman" w:hAnsi="Times New Roman"/>
                <w:sz w:val="20"/>
              </w:rPr>
              <w:t xml:space="preserve">-0.13</w:t>
            </w:r>
          </w:p>
        </w:tc>
      </w:tr>
      <w:tr>
        <w:tc>
          <w:tcPr>
            <w:vAlign w:val="center"/>
          </w:tcPr>
          <w:p>
            <w:pPr>
              <w:spacing w:before="20" w:after="20"/>
            </w:pPr>
            <w:r>
              <w:rPr>
                <w:rFonts w:ascii="Times New Roman" w:hAnsi="Times New Roman"/>
                <w:sz w:val="20"/>
              </w:rPr>
              <w:t xml:space="preserve">life_time</w:t>
            </w:r>
          </w:p>
        </w:tc>
        <w:tc>
          <w:tcPr>
            <w:vAlign w:val="center"/>
          </w:tcPr>
          <w:p>
            <w:pPr>
              <w:spacing w:before="20" w:after="20"/>
            </w:pPr>
            <w:r>
              <w:rPr>
                <w:rFonts w:ascii="Times New Roman" w:hAnsi="Times New Roman"/>
                <w:sz w:val="20"/>
              </w:rPr>
              <w:t xml:space="preserve">0.24</w:t>
            </w:r>
          </w:p>
        </w:tc>
        <w:tc>
          <w:tcPr>
            <w:vAlign w:val="center"/>
          </w:tcPr>
          <w:p>
            <w:pPr>
              <w:spacing w:before="20" w:after="20"/>
            </w:pPr>
            <w:r>
              <w:rPr>
                <w:rFonts w:ascii="Times New Roman" w:hAnsi="Times New Roman"/>
                <w:sz w:val="20"/>
              </w:rPr>
              <w:t xml:space="preserve">0.22</w:t>
            </w:r>
          </w:p>
        </w:tc>
        <w:tc>
          <w:tcPr>
            <w:vAlign w:val="center"/>
          </w:tcPr>
          <w:p>
            <w:pPr>
              <w:spacing w:before="20" w:after="20"/>
            </w:pPr>
            <w:r>
              <w:rPr>
                <w:rFonts w:ascii="Times New Roman" w:hAnsi="Times New Roman"/>
                <w:sz w:val="20"/>
              </w:rPr>
              <w:t xml:space="preserve">-0.07</w:t>
            </w:r>
          </w:p>
        </w:tc>
        <w:tc>
          <w:tcPr>
            <w:vAlign w:val="center"/>
          </w:tcPr>
          <w:p>
            <w:pPr>
              <w:spacing w:before="20" w:after="20"/>
            </w:pPr>
            <w:r>
              <w:rPr>
                <w:rFonts w:ascii="Times New Roman" w:hAnsi="Times New Roman"/>
                <w:sz w:val="20"/>
              </w:rPr>
              <w:t xml:space="preserve">0.21</w:t>
            </w:r>
          </w:p>
        </w:tc>
        <w:tc>
          <w:tcPr>
            <w:vAlign w:val="center"/>
          </w:tcPr>
          <w:p>
            <w:pPr>
              <w:spacing w:before="20" w:after="20"/>
            </w:pPr>
            <w:r>
              <w:rPr>
                <w:rFonts w:ascii="Times New Roman" w:hAnsi="Times New Roman"/>
                <w:sz w:val="20"/>
              </w:rPr>
              <w:t xml:space="preserve">-0.13</w:t>
            </w:r>
          </w:p>
        </w:tc>
        <w:tc>
          <w:tcPr>
            <w:vAlign w:val="center"/>
          </w:tcPr>
          <w:p>
            <w:pPr>
              <w:spacing w:before="20" w:after="20"/>
            </w:pPr>
            <w:r>
              <w:rPr>
                <w:rFonts w:ascii="Times New Roman" w:hAnsi="Times New Roman"/>
                <w:sz w:val="20"/>
              </w:rPr>
              <w:t xml:space="preserve">1.00</w:t>
            </w:r>
          </w:p>
        </w:tc>
      </w:tr>
    </w:tbl>
    <w:p>
      <w:pPr>
        <w:pStyle w:val="Caption"/>
      </w:pPr>
      <w:r>
        <w:t xml:space="preserve">Table 2. Spearman rank-correlation matrix between structural features and node attributes.</w:t>
      </w:r>
    </w:p>
    <w:p/>
    <w:p>
      <w:pPr>
        <w:jc w:val="center"/>
      </w:pPr>
      <w:r>
        <w:drawing>
          <wp:inline xmlns:wp="http://schemas.openxmlformats.org/drawingml/2006/wordprocessingDrawing" distT="0" distB="0" distL="0" distR="0">
            <wp:extent cx="5486400" cy="4702628"/>
            <wp:effectExtent l="0" t="0" r="0" b="0"/>
            <wp:docPr id="6" name="Figure6" descr="Spearman correlation heatmap (headline; robust to heavy-tail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
                    <pic:cNvPicPr/>
                  </pic:nvPicPr>
                  <pic:blipFill>
                    <a:blip xmlns:r="http://schemas.openxmlformats.org/officeDocument/2006/relationships" r:embed="R4f2ad059a3bb4c9f" cstate="print"/>
                    <a:stretch>
                      <a:fillRect/>
                    </a:stretch>
                  </pic:blipFill>
                  <pic:spPr>
                    <a:xfrm>
                      <a:off x="0" y="0"/>
                      <a:ext cx="5486400" cy="4702628"/>
                    </a:xfrm>
                    <a:prstGeom prst="rect">
                      <a:avLst/>
                    </a:prstGeom>
                  </pic:spPr>
                </pic:pic>
              </a:graphicData>
            </a:graphic>
          </wp:inline>
        </w:drawing>
      </w:r>
    </w:p>
    <w:p>
      <w:pPr>
        <w:pStyle w:val="Caption"/>
      </w:pPr>
      <w:r>
        <w:t xml:space="preserve">Figure 6. Spearman correlation heatmap (headline; robust to heavy-tailed features).</w:t>
      </w:r>
    </w:p>
    <w:p>
      <w:pPr>
        <w:jc w:val="center"/>
      </w:pPr>
      <w:r>
        <w:drawing>
          <wp:inline xmlns:wp="http://schemas.openxmlformats.org/drawingml/2006/wordprocessingDrawing" distT="0" distB="0" distL="0" distR="0">
            <wp:extent cx="5486400" cy="4702628"/>
            <wp:effectExtent l="0" t="0" r="0" b="0"/>
            <wp:docPr id="7" name="Figure7" descr="Pearson correlation heatmap (shown for complet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
                    <pic:cNvPicPr/>
                  </pic:nvPicPr>
                  <pic:blipFill>
                    <a:blip xmlns:r="http://schemas.openxmlformats.org/officeDocument/2006/relationships" r:embed="R371b0c51a8c349b0" cstate="print"/>
                    <a:stretch>
                      <a:fillRect/>
                    </a:stretch>
                  </pic:blipFill>
                  <pic:spPr>
                    <a:xfrm>
                      <a:off x="0" y="0"/>
                      <a:ext cx="5486400" cy="4702628"/>
                    </a:xfrm>
                    <a:prstGeom prst="rect">
                      <a:avLst/>
                    </a:prstGeom>
                  </pic:spPr>
                </pic:pic>
              </a:graphicData>
            </a:graphic>
          </wp:inline>
        </w:drawing>
      </w:r>
    </w:p>
    <w:p>
      <w:pPr>
        <w:pStyle w:val="Caption"/>
      </w:pPr>
      <w:r>
        <w:t xml:space="preserve">Figure 7. Pearson correlation heatmap (shown for completeness).</w:t>
      </w:r>
    </w:p>
    <w:p>
      <w:pPr>
        <w:pStyle w:val="Heading1"/>
      </w:pPr>
      <w:r>
        <w:t xml:space="preserve">4. Results — Part 2: Community Detection</w:t>
      </w:r>
    </w:p>
    <w:p>
      <w:pPr>
        <w:pStyle w:val="Heading2"/>
      </w:pPr>
      <w:r>
        <w:t xml:space="preserve">4.1 Louvain Communities</w:t>
      </w:r>
    </w:p>
    <w:p>
      <w:pPr>
        <w:pStyle w:val="BodyText"/>
      </w:pPr>
      <w:r>
        <w:t xml:space="preserve">Louvain detects 23 communities with modularity Q = 0.4228. A value well above 0.3 indicates strong, well-defined community structure. The partition is dominated by a few large communities — the largest holds 47,341 nodes and the median community size is 2,005 — and contains no singletons (Figure 8). Across three seeded runs the modularity is highly stable, Q = [0.4228, 0.4226, 0.422] (standard deviation 0.0003), even though the community count varies slightly ([23, 24, 22]); this confirms Q is a property of the network rather than a single-run artefact.</w:t>
      </w:r>
    </w:p>
    <w:p>
      <w:pPr>
        <w:jc w:val="center"/>
      </w:pPr>
      <w:r>
        <w:drawing>
          <wp:inline xmlns:wp="http://schemas.openxmlformats.org/drawingml/2006/wordprocessingDrawing" distT="0" distB="0" distL="0" distR="0">
            <wp:extent cx="5486400" cy="3918857"/>
            <wp:effectExtent l="0" t="0" r="0" b="0"/>
            <wp:docPr id="8" name="Figure8" descr="Louvain community-size distribution (log-scaled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
                    <pic:cNvPicPr/>
                  </pic:nvPicPr>
                  <pic:blipFill>
                    <a:blip xmlns:r="http://schemas.openxmlformats.org/officeDocument/2006/relationships" r:embed="R3dcdfade89a748be" cstate="print"/>
                    <a:stretch>
                      <a:fillRect/>
                    </a:stretch>
                  </pic:blipFill>
                  <pic:spPr>
                    <a:xfrm>
                      <a:off x="0" y="0"/>
                      <a:ext cx="5486400" cy="3918857"/>
                    </a:xfrm>
                    <a:prstGeom prst="rect">
                      <a:avLst/>
                    </a:prstGeom>
                  </pic:spPr>
                </pic:pic>
              </a:graphicData>
            </a:graphic>
          </wp:inline>
        </w:drawing>
      </w:r>
    </w:p>
    <w:p>
      <w:pPr>
        <w:pStyle w:val="Caption"/>
      </w:pPr>
      <w:r>
        <w:t xml:space="preserve">Figure 8. Louvain community-size distribution (log-scaled frequency).</w:t>
      </w:r>
    </w:p>
    <w:p>
      <w:pPr>
        <w:pStyle w:val="Heading2"/>
      </w:pPr>
      <w:r>
        <w:t xml:space="preserve">4.2 Major Community Profiles</w:t>
      </w:r>
    </w:p>
    <w:p>
      <w:pPr>
        <w:pStyle w:val="BodyText"/>
      </w:pPr>
      <w:r>
        <w:t xml:space="preserve">The ten largest communities cover 93.2% of all nodes and have a mean language purity of 90.3% (Table 3, Figure 9). The structure tells a clear story: the four or five largest communities are all English, meaning the dominant English population fragments into several communities along non-language lines (topic, follow-clique structure), while German, French, Chinese, Spanish, and Russian each form their own high-purity community. The Chinese community is the notable exception with lower purity (0.54) and the highest median views (12,274), suggesting a smaller, more cross-lingual but high-traffic cluster.</w:t>
      </w:r>
    </w:p>
    <w:tbl>
      <w:tblPr>
        <w:tblW w:w="5000" w:type="pct"/>
        <w:tblBorders>
          <w:top w:val="single" w:sz="12"/>
          <w:left w:val="none"/>
          <w:bottom w:val="single" w:sz="12"/>
          <w:right w:val="none"/>
          <w:insideH w:val="none"/>
          <w:insideV w:val="none"/>
        </w:tblBorders>
        <w:tblLayout w:type="autofit"/>
      </w:tblPr>
      <w:tblGrid>
        <w:gridCol w:w="1560"/>
        <w:gridCol w:w="1560"/>
        <w:gridCol w:w="1560"/>
        <w:gridCol w:w="1560"/>
        <w:gridCol w:w="1560"/>
        <w:gridCol w:w="1560"/>
      </w:tblGrid>
      <w:tr>
        <w:trPr>
          <w:tblHeader/>
        </w:trPr>
        <w:tc>
          <w:tcPr>
            <w:tcBorders>
              <w:bottom w:val="single" w:sz="6"/>
            </w:tcBorders>
            <w:vAlign w:val="center"/>
          </w:tcPr>
          <w:p>
            <w:pPr>
              <w:spacing w:before="20" w:after="20"/>
            </w:pPr>
            <w:r>
              <w:rPr>
                <w:rFonts w:ascii="Times New Roman" w:hAnsi="Times New Roman"/>
                <w:b/>
                <w:sz w:val="20"/>
              </w:rPr>
              <w:t xml:space="preserve">Community</w:t>
            </w:r>
          </w:p>
        </w:tc>
        <w:tc>
          <w:tcPr>
            <w:tcBorders>
              <w:bottom w:val="single" w:sz="6"/>
            </w:tcBorders>
            <w:vAlign w:val="center"/>
          </w:tcPr>
          <w:p>
            <w:pPr>
              <w:spacing w:before="20" w:after="20"/>
            </w:pPr>
            <w:r>
              <w:rPr>
                <w:rFonts w:ascii="Times New Roman" w:hAnsi="Times New Roman"/>
                <w:b/>
                <w:sz w:val="20"/>
              </w:rPr>
              <w:t xml:space="preserve">Size</w:t>
            </w:r>
          </w:p>
        </w:tc>
        <w:tc>
          <w:tcPr>
            <w:tcBorders>
              <w:bottom w:val="single" w:sz="6"/>
            </w:tcBorders>
            <w:vAlign w:val="center"/>
          </w:tcPr>
          <w:p>
            <w:pPr>
              <w:spacing w:before="20" w:after="20"/>
            </w:pPr>
            <w:r>
              <w:rPr>
                <w:rFonts w:ascii="Times New Roman" w:hAnsi="Times New Roman"/>
                <w:b/>
                <w:sz w:val="20"/>
              </w:rPr>
              <w:t xml:space="preserve">Dom. language</w:t>
            </w:r>
          </w:p>
        </w:tc>
        <w:tc>
          <w:tcPr>
            <w:tcBorders>
              <w:bottom w:val="single" w:sz="6"/>
            </w:tcBorders>
            <w:vAlign w:val="center"/>
          </w:tcPr>
          <w:p>
            <w:pPr>
              <w:spacing w:before="20" w:after="20"/>
            </w:pPr>
            <w:r>
              <w:rPr>
                <w:rFonts w:ascii="Times New Roman" w:hAnsi="Times New Roman"/>
                <w:b/>
                <w:sz w:val="20"/>
              </w:rPr>
              <w:t xml:space="preserve">Lang. purity</w:t>
            </w:r>
          </w:p>
        </w:tc>
        <w:tc>
          <w:tcPr>
            <w:tcBorders>
              <w:bottom w:val="single" w:sz="6"/>
            </w:tcBorders>
            <w:vAlign w:val="center"/>
          </w:tcPr>
          <w:p>
            <w:pPr>
              <w:spacing w:before="20" w:after="20"/>
            </w:pPr>
            <w:r>
              <w:rPr>
                <w:rFonts w:ascii="Times New Roman" w:hAnsi="Times New Roman"/>
                <w:b/>
                <w:sz w:val="20"/>
              </w:rPr>
              <w:t xml:space="preserve">Affiliate rate</w:t>
            </w:r>
          </w:p>
        </w:tc>
        <w:tc>
          <w:tcPr>
            <w:tcBorders>
              <w:bottom w:val="single" w:sz="6"/>
            </w:tcBorders>
            <w:vAlign w:val="center"/>
          </w:tcPr>
          <w:p>
            <w:pPr>
              <w:spacing w:before="20" w:after="20"/>
            </w:pPr>
            <w:r>
              <w:rPr>
                <w:rFonts w:ascii="Times New Roman" w:hAnsi="Times New Roman"/>
                <w:b/>
                <w:sz w:val="20"/>
              </w:rPr>
              <w:t xml:space="preserve">Median views</w:t>
            </w:r>
          </w:p>
        </w:tc>
      </w:tr>
      <w:tr>
        <w:tc>
          <w:tcPr>
            <w:vAlign w:val="center"/>
          </w:tcPr>
          <w:p>
            <w:pPr>
              <w:spacing w:before="20" w:after="20"/>
            </w:pPr>
            <w:r>
              <w:rPr>
                <w:rFonts w:ascii="Times New Roman" w:hAnsi="Times New Roman"/>
                <w:sz w:val="20"/>
              </w:rPr>
              <w:t xml:space="preserve">1</w:t>
            </w:r>
          </w:p>
        </w:tc>
        <w:tc>
          <w:tcPr>
            <w:vAlign w:val="center"/>
          </w:tcPr>
          <w:p>
            <w:pPr>
              <w:spacing w:before="20" w:after="20"/>
            </w:pPr>
            <w:r>
              <w:rPr>
                <w:rFonts w:ascii="Times New Roman" w:hAnsi="Times New Roman"/>
                <w:sz w:val="20"/>
              </w:rPr>
              <w:t xml:space="preserve">47,341</w:t>
            </w:r>
          </w:p>
        </w:tc>
        <w:tc>
          <w:tcPr>
            <w:vAlign w:val="center"/>
          </w:tcPr>
          <w:p>
            <w:pPr>
              <w:spacing w:before="20" w:after="20"/>
            </w:pPr>
            <w:r>
              <w:rPr>
                <w:rFonts w:ascii="Times New Roman" w:hAnsi="Times New Roman"/>
                <w:sz w:val="20"/>
              </w:rPr>
              <w:t xml:space="preserve">EN</w:t>
            </w:r>
          </w:p>
        </w:tc>
        <w:tc>
          <w:tcPr>
            <w:vAlign w:val="center"/>
          </w:tcPr>
          <w:p>
            <w:pPr>
              <w:spacing w:before="20" w:after="20"/>
            </w:pPr>
            <w:r>
              <w:rPr>
                <w:rFonts w:ascii="Times New Roman" w:hAnsi="Times New Roman"/>
                <w:sz w:val="20"/>
              </w:rPr>
              <w:t xml:space="preserve">0.905</w:t>
            </w:r>
          </w:p>
        </w:tc>
        <w:tc>
          <w:tcPr>
            <w:vAlign w:val="center"/>
          </w:tcPr>
          <w:p>
            <w:pPr>
              <w:spacing w:before="20" w:after="20"/>
            </w:pPr>
            <w:r>
              <w:rPr>
                <w:rFonts w:ascii="Times New Roman" w:hAnsi="Times New Roman"/>
                <w:sz w:val="20"/>
              </w:rPr>
              <w:t xml:space="preserve">0.438</w:t>
            </w:r>
          </w:p>
        </w:tc>
        <w:tc>
          <w:tcPr>
            <w:vAlign w:val="center"/>
          </w:tcPr>
          <w:p>
            <w:pPr>
              <w:spacing w:before="20" w:after="20"/>
            </w:pPr>
            <w:r>
              <w:rPr>
                <w:rFonts w:ascii="Times New Roman" w:hAnsi="Times New Roman"/>
                <w:sz w:val="20"/>
              </w:rPr>
              <w:t xml:space="preserve">3,090</w:t>
            </w:r>
          </w:p>
        </w:tc>
      </w:tr>
      <w:tr>
        <w:tc>
          <w:tcPr>
            <w:vAlign w:val="center"/>
          </w:tcPr>
          <w:p>
            <w:pPr>
              <w:spacing w:before="20" w:after="20"/>
            </w:pPr>
            <w:r>
              <w:rPr>
                <w:rFonts w:ascii="Times New Roman" w:hAnsi="Times New Roman"/>
                <w:sz w:val="20"/>
              </w:rPr>
              <w:t xml:space="preserve">3</w:t>
            </w:r>
          </w:p>
        </w:tc>
        <w:tc>
          <w:tcPr>
            <w:vAlign w:val="center"/>
          </w:tcPr>
          <w:p>
            <w:pPr>
              <w:spacing w:before="20" w:after="20"/>
            </w:pPr>
            <w:r>
              <w:rPr>
                <w:rFonts w:ascii="Times New Roman" w:hAnsi="Times New Roman"/>
                <w:sz w:val="20"/>
              </w:rPr>
              <w:t xml:space="preserve">29,994</w:t>
            </w:r>
          </w:p>
        </w:tc>
        <w:tc>
          <w:tcPr>
            <w:vAlign w:val="center"/>
          </w:tcPr>
          <w:p>
            <w:pPr>
              <w:spacing w:before="20" w:after="20"/>
            </w:pPr>
            <w:r>
              <w:rPr>
                <w:rFonts w:ascii="Times New Roman" w:hAnsi="Times New Roman"/>
                <w:sz w:val="20"/>
              </w:rPr>
              <w:t xml:space="preserve">EN</w:t>
            </w:r>
          </w:p>
        </w:tc>
        <w:tc>
          <w:tcPr>
            <w:vAlign w:val="center"/>
          </w:tcPr>
          <w:p>
            <w:pPr>
              <w:spacing w:before="20" w:after="20"/>
            </w:pPr>
            <w:r>
              <w:rPr>
                <w:rFonts w:ascii="Times New Roman" w:hAnsi="Times New Roman"/>
                <w:sz w:val="20"/>
              </w:rPr>
              <w:t xml:space="preserve">0.978</w:t>
            </w:r>
          </w:p>
        </w:tc>
        <w:tc>
          <w:tcPr>
            <w:vAlign w:val="center"/>
          </w:tcPr>
          <w:p>
            <w:pPr>
              <w:spacing w:before="20" w:after="20"/>
            </w:pPr>
            <w:r>
              <w:rPr>
                <w:rFonts w:ascii="Times New Roman" w:hAnsi="Times New Roman"/>
                <w:sz w:val="20"/>
              </w:rPr>
              <w:t xml:space="preserve">0.559</w:t>
            </w:r>
          </w:p>
        </w:tc>
        <w:tc>
          <w:tcPr>
            <w:vAlign w:val="center"/>
          </w:tcPr>
          <w:p>
            <w:pPr>
              <w:spacing w:before="20" w:after="20"/>
            </w:pPr>
            <w:r>
              <w:rPr>
                <w:rFonts w:ascii="Times New Roman" w:hAnsi="Times New Roman"/>
                <w:sz w:val="20"/>
              </w:rPr>
              <w:t xml:space="preserve">5,087</w:t>
            </w:r>
          </w:p>
        </w:tc>
      </w:tr>
      <w:tr>
        <w:tc>
          <w:tcPr>
            <w:vAlign w:val="center"/>
          </w:tcPr>
          <w:p>
            <w:pPr>
              <w:spacing w:before="20" w:after="20"/>
            </w:pPr>
            <w:r>
              <w:rPr>
                <w:rFonts w:ascii="Times New Roman" w:hAnsi="Times New Roman"/>
                <w:sz w:val="20"/>
              </w:rPr>
              <w:t xml:space="preserve">7</w:t>
            </w:r>
          </w:p>
        </w:tc>
        <w:tc>
          <w:tcPr>
            <w:vAlign w:val="center"/>
          </w:tcPr>
          <w:p>
            <w:pPr>
              <w:spacing w:before="20" w:after="20"/>
            </w:pPr>
            <w:r>
              <w:rPr>
                <w:rFonts w:ascii="Times New Roman" w:hAnsi="Times New Roman"/>
                <w:sz w:val="20"/>
              </w:rPr>
              <w:t xml:space="preserve">18,020</w:t>
            </w:r>
          </w:p>
        </w:tc>
        <w:tc>
          <w:tcPr>
            <w:vAlign w:val="center"/>
          </w:tcPr>
          <w:p>
            <w:pPr>
              <w:spacing w:before="20" w:after="20"/>
            </w:pPr>
            <w:r>
              <w:rPr>
                <w:rFonts w:ascii="Times New Roman" w:hAnsi="Times New Roman"/>
                <w:sz w:val="20"/>
              </w:rPr>
              <w:t xml:space="preserve">EN</w:t>
            </w:r>
          </w:p>
        </w:tc>
        <w:tc>
          <w:tcPr>
            <w:vAlign w:val="center"/>
          </w:tcPr>
          <w:p>
            <w:pPr>
              <w:spacing w:before="20" w:after="20"/>
            </w:pPr>
            <w:r>
              <w:rPr>
                <w:rFonts w:ascii="Times New Roman" w:hAnsi="Times New Roman"/>
                <w:sz w:val="20"/>
              </w:rPr>
              <w:t xml:space="preserve">0.907</w:t>
            </w:r>
          </w:p>
        </w:tc>
        <w:tc>
          <w:tcPr>
            <w:vAlign w:val="center"/>
          </w:tcPr>
          <w:p>
            <w:pPr>
              <w:spacing w:before="20" w:after="20"/>
            </w:pPr>
            <w:r>
              <w:rPr>
                <w:rFonts w:ascii="Times New Roman" w:hAnsi="Times New Roman"/>
                <w:sz w:val="20"/>
              </w:rPr>
              <w:t xml:space="preserve">0.434</w:t>
            </w:r>
          </w:p>
        </w:tc>
        <w:tc>
          <w:tcPr>
            <w:vAlign w:val="center"/>
          </w:tcPr>
          <w:p>
            <w:pPr>
              <w:spacing w:before="20" w:after="20"/>
            </w:pPr>
            <w:r>
              <w:rPr>
                <w:rFonts w:ascii="Times New Roman" w:hAnsi="Times New Roman"/>
                <w:sz w:val="20"/>
              </w:rPr>
              <w:t xml:space="preserve">4,617</w:t>
            </w:r>
          </w:p>
        </w:tc>
      </w:tr>
      <w:tr>
        <w:tc>
          <w:tcPr>
            <w:vAlign w:val="center"/>
          </w:tcPr>
          <w:p>
            <w:pPr>
              <w:spacing w:before="20" w:after="20"/>
            </w:pPr>
            <w:r>
              <w:rPr>
                <w:rFonts w:ascii="Times New Roman" w:hAnsi="Times New Roman"/>
                <w:sz w:val="20"/>
              </w:rPr>
              <w:t xml:space="preserve">2</w:t>
            </w:r>
          </w:p>
        </w:tc>
        <w:tc>
          <w:tcPr>
            <w:vAlign w:val="center"/>
          </w:tcPr>
          <w:p>
            <w:pPr>
              <w:spacing w:before="20" w:after="20"/>
            </w:pPr>
            <w:r>
              <w:rPr>
                <w:rFonts w:ascii="Times New Roman" w:hAnsi="Times New Roman"/>
                <w:sz w:val="20"/>
              </w:rPr>
              <w:t xml:space="preserve">17,430</w:t>
            </w:r>
          </w:p>
        </w:tc>
        <w:tc>
          <w:tcPr>
            <w:vAlign w:val="center"/>
          </w:tcPr>
          <w:p>
            <w:pPr>
              <w:spacing w:before="20" w:after="20"/>
            </w:pPr>
            <w:r>
              <w:rPr>
                <w:rFonts w:ascii="Times New Roman" w:hAnsi="Times New Roman"/>
                <w:sz w:val="20"/>
              </w:rPr>
              <w:t xml:space="preserve">EN</w:t>
            </w:r>
          </w:p>
        </w:tc>
        <w:tc>
          <w:tcPr>
            <w:vAlign w:val="center"/>
          </w:tcPr>
          <w:p>
            <w:pPr>
              <w:spacing w:before="20" w:after="20"/>
            </w:pPr>
            <w:r>
              <w:rPr>
                <w:rFonts w:ascii="Times New Roman" w:hAnsi="Times New Roman"/>
                <w:sz w:val="20"/>
              </w:rPr>
              <w:t xml:space="preserve">0.928</w:t>
            </w:r>
          </w:p>
        </w:tc>
        <w:tc>
          <w:tcPr>
            <w:vAlign w:val="center"/>
          </w:tcPr>
          <w:p>
            <w:pPr>
              <w:spacing w:before="20" w:after="20"/>
            </w:pPr>
            <w:r>
              <w:rPr>
                <w:rFonts w:ascii="Times New Roman" w:hAnsi="Times New Roman"/>
                <w:sz w:val="20"/>
              </w:rPr>
              <w:t xml:space="preserve">0.313</w:t>
            </w:r>
          </w:p>
        </w:tc>
        <w:tc>
          <w:tcPr>
            <w:vAlign w:val="center"/>
          </w:tcPr>
          <w:p>
            <w:pPr>
              <w:spacing w:before="20" w:after="20"/>
            </w:pPr>
            <w:r>
              <w:rPr>
                <w:rFonts w:ascii="Times New Roman" w:hAnsi="Times New Roman"/>
                <w:sz w:val="20"/>
              </w:rPr>
              <w:t xml:space="preserve">2,347</w:t>
            </w:r>
          </w:p>
        </w:tc>
      </w:tr>
      <w:tr>
        <w:tc>
          <w:tcPr>
            <w:vAlign w:val="center"/>
          </w:tcPr>
          <w:p>
            <w:pPr>
              <w:spacing w:before="20" w:after="20"/>
            </w:pPr>
            <w:r>
              <w:rPr>
                <w:rFonts w:ascii="Times New Roman" w:hAnsi="Times New Roman"/>
                <w:sz w:val="20"/>
              </w:rPr>
              <w:t xml:space="preserve">0</w:t>
            </w:r>
          </w:p>
        </w:tc>
        <w:tc>
          <w:tcPr>
            <w:vAlign w:val="center"/>
          </w:tcPr>
          <w:p>
            <w:pPr>
              <w:spacing w:before="20" w:after="20"/>
            </w:pPr>
            <w:r>
              <w:rPr>
                <w:rFonts w:ascii="Times New Roman" w:hAnsi="Times New Roman"/>
                <w:sz w:val="20"/>
              </w:rPr>
              <w:t xml:space="preserve">14,086</w:t>
            </w:r>
          </w:p>
        </w:tc>
        <w:tc>
          <w:tcPr>
            <w:vAlign w:val="center"/>
          </w:tcPr>
          <w:p>
            <w:pPr>
              <w:spacing w:before="20" w:after="20"/>
            </w:pPr>
            <w:r>
              <w:rPr>
                <w:rFonts w:ascii="Times New Roman" w:hAnsi="Times New Roman"/>
                <w:sz w:val="20"/>
              </w:rPr>
              <w:t xml:space="preserve">EN</w:t>
            </w:r>
          </w:p>
        </w:tc>
        <w:tc>
          <w:tcPr>
            <w:vAlign w:val="center"/>
          </w:tcPr>
          <w:p>
            <w:pPr>
              <w:spacing w:before="20" w:after="20"/>
            </w:pPr>
            <w:r>
              <w:rPr>
                <w:rFonts w:ascii="Times New Roman" w:hAnsi="Times New Roman"/>
                <w:sz w:val="20"/>
              </w:rPr>
              <w:t xml:space="preserve">0.969</w:t>
            </w:r>
          </w:p>
        </w:tc>
        <w:tc>
          <w:tcPr>
            <w:vAlign w:val="center"/>
          </w:tcPr>
          <w:p>
            <w:pPr>
              <w:spacing w:before="20" w:after="20"/>
            </w:pPr>
            <w:r>
              <w:rPr>
                <w:rFonts w:ascii="Times New Roman" w:hAnsi="Times New Roman"/>
                <w:sz w:val="20"/>
              </w:rPr>
              <w:t xml:space="preserve">0.768</w:t>
            </w:r>
          </w:p>
        </w:tc>
        <w:tc>
          <w:tcPr>
            <w:vAlign w:val="center"/>
          </w:tcPr>
          <w:p>
            <w:pPr>
              <w:spacing w:before="20" w:after="20"/>
            </w:pPr>
            <w:r>
              <w:rPr>
                <w:rFonts w:ascii="Times New Roman" w:hAnsi="Times New Roman"/>
                <w:sz w:val="20"/>
              </w:rPr>
              <w:t xml:space="preserve">3,797</w:t>
            </w:r>
          </w:p>
        </w:tc>
      </w:tr>
      <w:tr>
        <w:tc>
          <w:tcPr>
            <w:vAlign w:val="center"/>
          </w:tcPr>
          <w:p>
            <w:pPr>
              <w:spacing w:before="20" w:after="20"/>
            </w:pPr>
            <w:r>
              <w:rPr>
                <w:rFonts w:ascii="Times New Roman" w:hAnsi="Times New Roman"/>
                <w:sz w:val="20"/>
              </w:rPr>
              <w:t xml:space="preserve">9</w:t>
            </w:r>
          </w:p>
        </w:tc>
        <w:tc>
          <w:tcPr>
            <w:vAlign w:val="center"/>
          </w:tcPr>
          <w:p>
            <w:pPr>
              <w:spacing w:before="20" w:after="20"/>
            </w:pPr>
            <w:r>
              <w:rPr>
                <w:rFonts w:ascii="Times New Roman" w:hAnsi="Times New Roman"/>
                <w:sz w:val="20"/>
              </w:rPr>
              <w:t xml:space="preserve">8,829</w:t>
            </w:r>
          </w:p>
        </w:tc>
        <w:tc>
          <w:tcPr>
            <w:vAlign w:val="center"/>
          </w:tcPr>
          <w:p>
            <w:pPr>
              <w:spacing w:before="20" w:after="20"/>
            </w:pPr>
            <w:r>
              <w:rPr>
                <w:rFonts w:ascii="Times New Roman" w:hAnsi="Times New Roman"/>
                <w:sz w:val="20"/>
              </w:rPr>
              <w:t xml:space="preserve">DE</w:t>
            </w:r>
          </w:p>
        </w:tc>
        <w:tc>
          <w:tcPr>
            <w:vAlign w:val="center"/>
          </w:tcPr>
          <w:p>
            <w:pPr>
              <w:spacing w:before="20" w:after="20"/>
            </w:pPr>
            <w:r>
              <w:rPr>
                <w:rFonts w:ascii="Times New Roman" w:hAnsi="Times New Roman"/>
                <w:sz w:val="20"/>
              </w:rPr>
              <w:t xml:space="preserve">0.949</w:t>
            </w:r>
          </w:p>
        </w:tc>
        <w:tc>
          <w:tcPr>
            <w:vAlign w:val="center"/>
          </w:tcPr>
          <w:p>
            <w:pPr>
              <w:spacing w:before="20" w:after="20"/>
            </w:pPr>
            <w:r>
              <w:rPr>
                <w:rFonts w:ascii="Times New Roman" w:hAnsi="Times New Roman"/>
                <w:sz w:val="20"/>
              </w:rPr>
              <w:t xml:space="preserve">0.514</w:t>
            </w:r>
          </w:p>
        </w:tc>
        <w:tc>
          <w:tcPr>
            <w:vAlign w:val="center"/>
          </w:tcPr>
          <w:p>
            <w:pPr>
              <w:spacing w:before="20" w:after="20"/>
            </w:pPr>
            <w:r>
              <w:rPr>
                <w:rFonts w:ascii="Times New Roman" w:hAnsi="Times New Roman"/>
                <w:sz w:val="20"/>
              </w:rPr>
              <w:t xml:space="preserve">6,572</w:t>
            </w:r>
          </w:p>
        </w:tc>
      </w:tr>
      <w:tr>
        <w:tc>
          <w:tcPr>
            <w:vAlign w:val="center"/>
          </w:tcPr>
          <w:p>
            <w:pPr>
              <w:spacing w:before="20" w:after="20"/>
            </w:pPr>
            <w:r>
              <w:rPr>
                <w:rFonts w:ascii="Times New Roman" w:hAnsi="Times New Roman"/>
                <w:sz w:val="20"/>
              </w:rPr>
              <w:t xml:space="preserve">4</w:t>
            </w:r>
          </w:p>
        </w:tc>
        <w:tc>
          <w:tcPr>
            <w:vAlign w:val="center"/>
          </w:tcPr>
          <w:p>
            <w:pPr>
              <w:spacing w:before="20" w:after="20"/>
            </w:pPr>
            <w:r>
              <w:rPr>
                <w:rFonts w:ascii="Times New Roman" w:hAnsi="Times New Roman"/>
                <w:sz w:val="20"/>
              </w:rPr>
              <w:t xml:space="preserve">6,255</w:t>
            </w:r>
          </w:p>
        </w:tc>
        <w:tc>
          <w:tcPr>
            <w:vAlign w:val="center"/>
          </w:tcPr>
          <w:p>
            <w:pPr>
              <w:spacing w:before="20" w:after="20"/>
            </w:pPr>
            <w:r>
              <w:rPr>
                <w:rFonts w:ascii="Times New Roman" w:hAnsi="Times New Roman"/>
                <w:sz w:val="20"/>
              </w:rPr>
              <w:t xml:space="preserve">FR</w:t>
            </w:r>
          </w:p>
        </w:tc>
        <w:tc>
          <w:tcPr>
            <w:vAlign w:val="center"/>
          </w:tcPr>
          <w:p>
            <w:pPr>
              <w:spacing w:before="20" w:after="20"/>
            </w:pPr>
            <w:r>
              <w:rPr>
                <w:rFonts w:ascii="Times New Roman" w:hAnsi="Times New Roman"/>
                <w:sz w:val="20"/>
              </w:rPr>
              <w:t xml:space="preserve">0.958</w:t>
            </w:r>
          </w:p>
        </w:tc>
        <w:tc>
          <w:tcPr>
            <w:vAlign w:val="center"/>
          </w:tcPr>
          <w:p>
            <w:pPr>
              <w:spacing w:before="20" w:after="20"/>
            </w:pPr>
            <w:r>
              <w:rPr>
                <w:rFonts w:ascii="Times New Roman" w:hAnsi="Times New Roman"/>
                <w:sz w:val="20"/>
              </w:rPr>
              <w:t xml:space="preserve">0.521</w:t>
            </w:r>
          </w:p>
        </w:tc>
        <w:tc>
          <w:tcPr>
            <w:vAlign w:val="center"/>
          </w:tcPr>
          <w:p>
            <w:pPr>
              <w:spacing w:before="20" w:after="20"/>
            </w:pPr>
            <w:r>
              <w:rPr>
                <w:rFonts w:ascii="Times New Roman" w:hAnsi="Times New Roman"/>
                <w:sz w:val="20"/>
              </w:rPr>
              <w:t xml:space="preserve">6,094</w:t>
            </w:r>
          </w:p>
        </w:tc>
      </w:tr>
      <w:tr>
        <w:tc>
          <w:tcPr>
            <w:vAlign w:val="center"/>
          </w:tcPr>
          <w:p>
            <w:pPr>
              <w:spacing w:before="20" w:after="20"/>
            </w:pPr>
            <w:r>
              <w:rPr>
                <w:rFonts w:ascii="Times New Roman" w:hAnsi="Times New Roman"/>
                <w:sz w:val="20"/>
              </w:rPr>
              <w:t xml:space="preserve">5</w:t>
            </w:r>
          </w:p>
        </w:tc>
        <w:tc>
          <w:tcPr>
            <w:vAlign w:val="center"/>
          </w:tcPr>
          <w:p>
            <w:pPr>
              <w:spacing w:before="20" w:after="20"/>
            </w:pPr>
            <w:r>
              <w:rPr>
                <w:rFonts w:ascii="Times New Roman" w:hAnsi="Times New Roman"/>
                <w:sz w:val="20"/>
              </w:rPr>
              <w:t xml:space="preserve">5,077</w:t>
            </w:r>
          </w:p>
        </w:tc>
        <w:tc>
          <w:tcPr>
            <w:vAlign w:val="center"/>
          </w:tcPr>
          <w:p>
            <w:pPr>
              <w:spacing w:before="20" w:after="20"/>
            </w:pPr>
            <w:r>
              <w:rPr>
                <w:rFonts w:ascii="Times New Roman" w:hAnsi="Times New Roman"/>
                <w:sz w:val="20"/>
              </w:rPr>
              <w:t xml:space="preserve">ZH</w:t>
            </w:r>
          </w:p>
        </w:tc>
        <w:tc>
          <w:tcPr>
            <w:vAlign w:val="center"/>
          </w:tcPr>
          <w:p>
            <w:pPr>
              <w:spacing w:before="20" w:after="20"/>
            </w:pPr>
            <w:r>
              <w:rPr>
                <w:rFonts w:ascii="Times New Roman" w:hAnsi="Times New Roman"/>
                <w:sz w:val="20"/>
              </w:rPr>
              <w:t xml:space="preserve">0.540</w:t>
            </w:r>
          </w:p>
        </w:tc>
        <w:tc>
          <w:tcPr>
            <w:vAlign w:val="center"/>
          </w:tcPr>
          <w:p>
            <w:pPr>
              <w:spacing w:before="20" w:after="20"/>
            </w:pPr>
            <w:r>
              <w:rPr>
                <w:rFonts w:ascii="Times New Roman" w:hAnsi="Times New Roman"/>
                <w:sz w:val="20"/>
              </w:rPr>
              <w:t xml:space="preserve">0.355</w:t>
            </w:r>
          </w:p>
        </w:tc>
        <w:tc>
          <w:tcPr>
            <w:vAlign w:val="center"/>
          </w:tcPr>
          <w:p>
            <w:pPr>
              <w:spacing w:before="20" w:after="20"/>
            </w:pPr>
            <w:r>
              <w:rPr>
                <w:rFonts w:ascii="Times New Roman" w:hAnsi="Times New Roman"/>
                <w:sz w:val="20"/>
              </w:rPr>
              <w:t xml:space="preserve">12,274</w:t>
            </w:r>
          </w:p>
        </w:tc>
      </w:tr>
      <w:tr>
        <w:tc>
          <w:tcPr>
            <w:vAlign w:val="center"/>
          </w:tcPr>
          <w:p>
            <w:pPr>
              <w:spacing w:before="20" w:after="20"/>
            </w:pPr>
            <w:r>
              <w:rPr>
                <w:rFonts w:ascii="Times New Roman" w:hAnsi="Times New Roman"/>
                <w:sz w:val="20"/>
              </w:rPr>
              <w:t xml:space="preserve">10</w:t>
            </w:r>
          </w:p>
        </w:tc>
        <w:tc>
          <w:tcPr>
            <w:vAlign w:val="center"/>
          </w:tcPr>
          <w:p>
            <w:pPr>
              <w:spacing w:before="20" w:after="20"/>
            </w:pPr>
            <w:r>
              <w:rPr>
                <w:rFonts w:ascii="Times New Roman" w:hAnsi="Times New Roman"/>
                <w:sz w:val="20"/>
              </w:rPr>
              <w:t xml:space="preserve">5,050</w:t>
            </w:r>
          </w:p>
        </w:tc>
        <w:tc>
          <w:tcPr>
            <w:vAlign w:val="center"/>
          </w:tcPr>
          <w:p>
            <w:pPr>
              <w:spacing w:before="20" w:after="20"/>
            </w:pPr>
            <w:r>
              <w:rPr>
                <w:rFonts w:ascii="Times New Roman" w:hAnsi="Times New Roman"/>
                <w:sz w:val="20"/>
              </w:rPr>
              <w:t xml:space="preserve">ES</w:t>
            </w:r>
          </w:p>
        </w:tc>
        <w:tc>
          <w:tcPr>
            <w:vAlign w:val="center"/>
          </w:tcPr>
          <w:p>
            <w:pPr>
              <w:spacing w:before="20" w:after="20"/>
            </w:pPr>
            <w:r>
              <w:rPr>
                <w:rFonts w:ascii="Times New Roman" w:hAnsi="Times New Roman"/>
                <w:sz w:val="20"/>
              </w:rPr>
              <w:t xml:space="preserve">0.955</w:t>
            </w:r>
          </w:p>
        </w:tc>
        <w:tc>
          <w:tcPr>
            <w:vAlign w:val="center"/>
          </w:tcPr>
          <w:p>
            <w:pPr>
              <w:spacing w:before="20" w:after="20"/>
            </w:pPr>
            <w:r>
              <w:rPr>
                <w:rFonts w:ascii="Times New Roman" w:hAnsi="Times New Roman"/>
                <w:sz w:val="20"/>
              </w:rPr>
              <w:t xml:space="preserve">0.531</w:t>
            </w:r>
          </w:p>
        </w:tc>
        <w:tc>
          <w:tcPr>
            <w:vAlign w:val="center"/>
          </w:tcPr>
          <w:p>
            <w:pPr>
              <w:spacing w:before="20" w:after="20"/>
            </w:pPr>
            <w:r>
              <w:rPr>
                <w:rFonts w:ascii="Times New Roman" w:hAnsi="Times New Roman"/>
                <w:sz w:val="20"/>
              </w:rPr>
              <w:t xml:space="preserve">4,817</w:t>
            </w:r>
          </w:p>
        </w:tc>
      </w:tr>
      <w:tr>
        <w:tc>
          <w:tcPr>
            <w:vAlign w:val="center"/>
          </w:tcPr>
          <w:p>
            <w:pPr>
              <w:spacing w:before="20" w:after="20"/>
            </w:pPr>
            <w:r>
              <w:rPr>
                <w:rFonts w:ascii="Times New Roman" w:hAnsi="Times New Roman"/>
                <w:sz w:val="20"/>
              </w:rPr>
              <w:t xml:space="preserve">6</w:t>
            </w:r>
          </w:p>
        </w:tc>
        <w:tc>
          <w:tcPr>
            <w:vAlign w:val="center"/>
          </w:tcPr>
          <w:p>
            <w:pPr>
              <w:spacing w:before="20" w:after="20"/>
            </w:pPr>
            <w:r>
              <w:rPr>
                <w:rFonts w:ascii="Times New Roman" w:hAnsi="Times New Roman"/>
                <w:sz w:val="20"/>
              </w:rPr>
              <w:t xml:space="preserve">4,644</w:t>
            </w:r>
          </w:p>
        </w:tc>
        <w:tc>
          <w:tcPr>
            <w:vAlign w:val="center"/>
          </w:tcPr>
          <w:p>
            <w:pPr>
              <w:spacing w:before="20" w:after="20"/>
            </w:pPr>
            <w:r>
              <w:rPr>
                <w:rFonts w:ascii="Times New Roman" w:hAnsi="Times New Roman"/>
                <w:sz w:val="20"/>
              </w:rPr>
              <w:t xml:space="preserve">RU</w:t>
            </w:r>
          </w:p>
        </w:tc>
        <w:tc>
          <w:tcPr>
            <w:vAlign w:val="center"/>
          </w:tcPr>
          <w:p>
            <w:pPr>
              <w:spacing w:before="20" w:after="20"/>
            </w:pPr>
            <w:r>
              <w:rPr>
                <w:rFonts w:ascii="Times New Roman" w:hAnsi="Times New Roman"/>
                <w:sz w:val="20"/>
              </w:rPr>
              <w:t xml:space="preserve">0.946</w:t>
            </w:r>
          </w:p>
        </w:tc>
        <w:tc>
          <w:tcPr>
            <w:vAlign w:val="center"/>
          </w:tcPr>
          <w:p>
            <w:pPr>
              <w:spacing w:before="20" w:after="20"/>
            </w:pPr>
            <w:r>
              <w:rPr>
                <w:rFonts w:ascii="Times New Roman" w:hAnsi="Times New Roman"/>
                <w:sz w:val="20"/>
              </w:rPr>
              <w:t xml:space="preserve">0.439</w:t>
            </w:r>
          </w:p>
        </w:tc>
        <w:tc>
          <w:tcPr>
            <w:vAlign w:val="center"/>
          </w:tcPr>
          <w:p>
            <w:pPr>
              <w:spacing w:before="20" w:after="20"/>
            </w:pPr>
            <w:r>
              <w:rPr>
                <w:rFonts w:ascii="Times New Roman" w:hAnsi="Times New Roman"/>
                <w:sz w:val="20"/>
              </w:rPr>
              <w:t xml:space="preserve">11,269</w:t>
            </w:r>
          </w:p>
        </w:tc>
      </w:tr>
    </w:tbl>
    <w:p>
      <w:pPr>
        <w:pStyle w:val="Caption"/>
      </w:pPr>
      <w:r>
        <w:t xml:space="preserve">Table 3. Profile of the ten largest Louvain communities (93.2% of all nodes).</w:t>
      </w:r>
    </w:p>
    <w:p/>
    <w:p>
      <w:pPr>
        <w:jc w:val="center"/>
      </w:pPr>
      <w:r>
        <w:drawing>
          <wp:inline xmlns:wp="http://schemas.openxmlformats.org/drawingml/2006/wordprocessingDrawing" distT="0" distB="0" distL="0" distR="0">
            <wp:extent cx="5486400" cy="3291840"/>
            <wp:effectExtent l="0" t="0" r="0" b="0"/>
            <wp:docPr id="9" name="Figure9" descr="Language composition of the ten largest communities (stacked sh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
                    <pic:cNvPicPr/>
                  </pic:nvPicPr>
                  <pic:blipFill>
                    <a:blip xmlns:r="http://schemas.openxmlformats.org/officeDocument/2006/relationships" r:embed="R0b50e4537a344304" cstate="print"/>
                    <a:stretch>
                      <a:fillRect/>
                    </a:stretch>
                  </pic:blipFill>
                  <pic:spPr>
                    <a:xfrm>
                      <a:off x="0" y="0"/>
                      <a:ext cx="5486400" cy="3291840"/>
                    </a:xfrm>
                    <a:prstGeom prst="rect">
                      <a:avLst/>
                    </a:prstGeom>
                  </pic:spPr>
                </pic:pic>
              </a:graphicData>
            </a:graphic>
          </wp:inline>
        </w:drawing>
      </w:r>
    </w:p>
    <w:p>
      <w:pPr>
        <w:pStyle w:val="Caption"/>
      </w:pPr>
      <w:r>
        <w:t xml:space="preserve">Figure 9. Language composition of the ten largest communities (stacked shares).</w:t>
      </w:r>
    </w:p>
    <w:p>
      <w:pPr>
        <w:pStyle w:val="Heading2"/>
      </w:pPr>
      <w:r>
        <w:t xml:space="preserve">4.3 NMI: Communities versus Language</w:t>
      </w:r>
    </w:p>
    <w:p>
      <w:pPr>
        <w:pStyle w:val="BodyText"/>
      </w:pPr>
      <w:r>
        <w:t xml:space="preserve">Normalized Mutual Information between the Louvain partition and the language labels is 0.4786, far above the label-misaligned baseline of approximately 0.0007. On the standard interpretation this is a partial association: language is a strong organising factor for the smaller non-English communities, but it does not fully explain the partition because the large English population is split by other factors. The headline verdict is therefore that the network is partially organised by language.</w:t>
      </w:r>
    </w:p>
    <w:p>
      <w:pPr>
        <w:pStyle w:val="Heading2"/>
      </w:pPr>
      <w:r>
        <w:t xml:space="preserve">4.4 Cluster-Quality Assessment</w:t>
      </w:r>
    </w:p>
    <w:p>
      <w:pPr>
        <w:pStyle w:val="BodyText"/>
      </w:pPr>
      <w:r>
        <w:t xml:space="preserve">The graph-native quality metrics corroborate the partition (Table 4). Coverage is 0.604, so 60% of all edges remain inside communities. Mean conductance is 0.374 (median 0.379); the per-community values (Figure 10) show that the smaller language communities are more sharply separated (lower conductance) than the large, porous English communities, the graph equivalent of high versus low silhouette per cluster. Decisively, the significance test shows the observed modularity (0.4228) is about 5.3 times the configuration-model null (approximately 0.0792): the community structure is genuine and not an artefact of the degree sequence.</w:t>
      </w:r>
    </w:p>
    <w:tbl>
      <w:tblPr>
        <w:tblW w:w="5000" w:type="pct"/>
        <w:tblBorders>
          <w:top w:val="single" w:sz="12"/>
          <w:left w:val="none"/>
          <w:bottom w:val="single" w:sz="12"/>
          <w:right w:val="none"/>
          <w:insideH w:val="none"/>
          <w:insideV w:val="none"/>
        </w:tblBorders>
        <w:tblLayout w:type="autofit"/>
      </w:tblPr>
      <w:tblGrid>
        <w:gridCol w:w="3120"/>
        <w:gridCol w:w="3120"/>
        <w:gridCol w:w="3120"/>
      </w:tblGrid>
      <w:tr>
        <w:trPr>
          <w:tblHeader/>
        </w:trPr>
        <w:tc>
          <w:tcPr>
            <w:tcBorders>
              <w:bottom w:val="single" w:sz="6"/>
            </w:tcBorders>
            <w:vAlign w:val="center"/>
          </w:tcPr>
          <w:p>
            <w:pPr>
              <w:spacing w:before="20" w:after="20"/>
            </w:pPr>
            <w:r>
              <w:rPr>
                <w:rFonts w:ascii="Times New Roman" w:hAnsi="Times New Roman"/>
                <w:b/>
                <w:sz w:val="20"/>
              </w:rPr>
              <w:t xml:space="preserve">Quality metric</w:t>
            </w:r>
          </w:p>
        </w:tc>
        <w:tc>
          <w:tcPr>
            <w:tcBorders>
              <w:bottom w:val="single" w:sz="6"/>
            </w:tcBorders>
            <w:vAlign w:val="center"/>
          </w:tcPr>
          <w:p>
            <w:pPr>
              <w:spacing w:before="20" w:after="20"/>
            </w:pPr>
            <w:r>
              <w:rPr>
                <w:rFonts w:ascii="Times New Roman" w:hAnsi="Times New Roman"/>
                <w:b/>
                <w:sz w:val="20"/>
              </w:rPr>
              <w:t xml:space="preserve">Value</w:t>
            </w:r>
          </w:p>
        </w:tc>
        <w:tc>
          <w:tcPr>
            <w:tcBorders>
              <w:bottom w:val="single" w:sz="6"/>
            </w:tcBorders>
            <w:vAlign w:val="center"/>
          </w:tcPr>
          <w:p>
            <w:pPr>
              <w:spacing w:before="20" w:after="20"/>
            </w:pPr>
            <w:r>
              <w:rPr>
                <w:rFonts w:ascii="Times New Roman" w:hAnsi="Times New Roman"/>
                <w:b/>
                <w:sz w:val="20"/>
              </w:rPr>
              <w:t xml:space="preserve">Interpretation</w:t>
            </w:r>
          </w:p>
        </w:tc>
      </w:tr>
      <w:tr>
        <w:tc>
          <w:tcPr>
            <w:vAlign w:val="center"/>
          </w:tcPr>
          <w:p>
            <w:pPr>
              <w:spacing w:before="20" w:after="20"/>
            </w:pPr>
            <w:r>
              <w:rPr>
                <w:rFonts w:ascii="Times New Roman" w:hAnsi="Times New Roman"/>
                <w:sz w:val="20"/>
              </w:rPr>
              <w:t xml:space="preserve">Modularity Q</w:t>
            </w:r>
          </w:p>
        </w:tc>
        <w:tc>
          <w:tcPr>
            <w:vAlign w:val="center"/>
          </w:tcPr>
          <w:p>
            <w:pPr>
              <w:spacing w:before="20" w:after="20"/>
            </w:pPr>
            <w:r>
              <w:rPr>
                <w:rFonts w:ascii="Times New Roman" w:hAnsi="Times New Roman"/>
                <w:sz w:val="20"/>
              </w:rPr>
              <w:t xml:space="preserve">0.4228</w:t>
            </w:r>
          </w:p>
        </w:tc>
        <w:tc>
          <w:tcPr>
            <w:vAlign w:val="center"/>
          </w:tcPr>
          <w:p>
            <w:pPr>
              <w:spacing w:before="20" w:after="20"/>
            </w:pPr>
            <w:r>
              <w:rPr>
                <w:rFonts w:ascii="Times New Roman" w:hAnsi="Times New Roman"/>
                <w:sz w:val="20"/>
              </w:rPr>
              <w:t xml:space="preserve">Strong structure (Q &gt; 0.3)</w:t>
            </w:r>
          </w:p>
        </w:tc>
      </w:tr>
      <w:tr>
        <w:tc>
          <w:tcPr>
            <w:vAlign w:val="center"/>
          </w:tcPr>
          <w:p>
            <w:pPr>
              <w:spacing w:before="20" w:after="20"/>
            </w:pPr>
            <w:r>
              <w:rPr>
                <w:rFonts w:ascii="Times New Roman" w:hAnsi="Times New Roman"/>
                <w:sz w:val="20"/>
              </w:rPr>
              <w:t xml:space="preserve">Coverage</w:t>
            </w:r>
          </w:p>
        </w:tc>
        <w:tc>
          <w:tcPr>
            <w:vAlign w:val="center"/>
          </w:tcPr>
          <w:p>
            <w:pPr>
              <w:spacing w:before="20" w:after="20"/>
            </w:pPr>
            <w:r>
              <w:rPr>
                <w:rFonts w:ascii="Times New Roman" w:hAnsi="Times New Roman"/>
                <w:sz w:val="20"/>
              </w:rPr>
              <w:t xml:space="preserve">0.604</w:t>
            </w:r>
          </w:p>
        </w:tc>
        <w:tc>
          <w:tcPr>
            <w:vAlign w:val="center"/>
          </w:tcPr>
          <w:p>
            <w:pPr>
              <w:spacing w:before="20" w:after="20"/>
            </w:pPr>
            <w:r>
              <w:rPr>
                <w:rFonts w:ascii="Times New Roman" w:hAnsi="Times New Roman"/>
                <w:sz w:val="20"/>
              </w:rPr>
              <w:t xml:space="preserve">60% of edges intra-community</w:t>
            </w:r>
          </w:p>
        </w:tc>
      </w:tr>
      <w:tr>
        <w:tc>
          <w:tcPr>
            <w:vAlign w:val="center"/>
          </w:tcPr>
          <w:p>
            <w:pPr>
              <w:spacing w:before="20" w:after="20"/>
            </w:pPr>
            <w:r>
              <w:rPr>
                <w:rFonts w:ascii="Times New Roman" w:hAnsi="Times New Roman"/>
                <w:sz w:val="20"/>
              </w:rPr>
              <w:t xml:space="preserve">Mean conductance</w:t>
            </w:r>
          </w:p>
        </w:tc>
        <w:tc>
          <w:tcPr>
            <w:vAlign w:val="center"/>
          </w:tcPr>
          <w:p>
            <w:pPr>
              <w:spacing w:before="20" w:after="20"/>
            </w:pPr>
            <w:r>
              <w:rPr>
                <w:rFonts w:ascii="Times New Roman" w:hAnsi="Times New Roman"/>
                <w:sz w:val="20"/>
              </w:rPr>
              <w:t xml:space="preserve">0.374</w:t>
            </w:r>
          </w:p>
        </w:tc>
        <w:tc>
          <w:tcPr>
            <w:vAlign w:val="center"/>
          </w:tcPr>
          <w:p>
            <w:pPr>
              <w:spacing w:before="20" w:after="20"/>
            </w:pPr>
            <w:r>
              <w:rPr>
                <w:rFonts w:ascii="Times New Roman" w:hAnsi="Times New Roman"/>
                <w:sz w:val="20"/>
              </w:rPr>
              <w:t xml:space="preserve">Lower is better separated</w:t>
            </w:r>
          </w:p>
        </w:tc>
      </w:tr>
      <w:tr>
        <w:tc>
          <w:tcPr>
            <w:vAlign w:val="center"/>
          </w:tcPr>
          <w:p>
            <w:pPr>
              <w:spacing w:before="20" w:after="20"/>
            </w:pPr>
            <w:r>
              <w:rPr>
                <w:rFonts w:ascii="Times New Roman" w:hAnsi="Times New Roman"/>
                <w:sz w:val="20"/>
              </w:rPr>
              <w:t xml:space="preserve">Median conductance</w:t>
            </w:r>
          </w:p>
        </w:tc>
        <w:tc>
          <w:tcPr>
            <w:vAlign w:val="center"/>
          </w:tcPr>
          <w:p>
            <w:pPr>
              <w:spacing w:before="20" w:after="20"/>
            </w:pPr>
            <w:r>
              <w:rPr>
                <w:rFonts w:ascii="Times New Roman" w:hAnsi="Times New Roman"/>
                <w:sz w:val="20"/>
              </w:rPr>
              <w:t xml:space="preserve">0.379</w:t>
            </w:r>
          </w:p>
        </w:tc>
        <w:tc>
          <w:tcPr>
            <w:vAlign w:val="center"/>
          </w:tcPr>
          <w:p>
            <w:pPr>
              <w:spacing w:before="20" w:after="20"/>
            </w:pPr>
            <w:r>
              <w:rPr>
                <w:rFonts w:ascii="Times New Roman" w:hAnsi="Times New Roman"/>
                <w:sz w:val="20"/>
              </w:rPr>
              <w:t xml:space="preserve">—</w:t>
            </w:r>
          </w:p>
        </w:tc>
      </w:tr>
      <w:tr>
        <w:tc>
          <w:tcPr>
            <w:vAlign w:val="center"/>
          </w:tcPr>
          <w:p>
            <w:pPr>
              <w:spacing w:before="20" w:after="20"/>
            </w:pPr>
            <w:r>
              <w:rPr>
                <w:rFonts w:ascii="Times New Roman" w:hAnsi="Times New Roman"/>
                <w:sz w:val="20"/>
              </w:rPr>
              <w:t xml:space="preserve">Q, configuration null</w:t>
            </w:r>
          </w:p>
        </w:tc>
        <w:tc>
          <w:tcPr>
            <w:vAlign w:val="center"/>
          </w:tcPr>
          <w:p>
            <w:pPr>
              <w:spacing w:before="20" w:after="20"/>
            </w:pPr>
            <w:r>
              <w:rPr>
                <w:rFonts w:ascii="Times New Roman" w:hAnsi="Times New Roman"/>
                <w:sz w:val="20"/>
              </w:rPr>
              <w:t xml:space="preserve">0.0792</w:t>
            </w:r>
          </w:p>
        </w:tc>
        <w:tc>
          <w:tcPr>
            <w:vAlign w:val="center"/>
          </w:tcPr>
          <w:p>
            <w:pPr>
              <w:spacing w:before="20" w:after="20"/>
            </w:pPr>
            <w:r>
              <w:rPr>
                <w:rFonts w:ascii="Times New Roman" w:hAnsi="Times New Roman"/>
                <w:sz w:val="20"/>
              </w:rPr>
              <w:t xml:space="preserve">Best Q on random degree-matched graphs</w:t>
            </w:r>
          </w:p>
        </w:tc>
      </w:tr>
      <w:tr>
        <w:tc>
          <w:tcPr>
            <w:vAlign w:val="center"/>
          </w:tcPr>
          <w:p>
            <w:pPr>
              <w:spacing w:before="20" w:after="20"/>
            </w:pPr>
            <w:r>
              <w:rPr>
                <w:rFonts w:ascii="Times New Roman" w:hAnsi="Times New Roman"/>
                <w:sz w:val="20"/>
              </w:rPr>
              <w:t xml:space="preserve">Q / null ratio</w:t>
            </w:r>
          </w:p>
        </w:tc>
        <w:tc>
          <w:tcPr>
            <w:vAlign w:val="center"/>
          </w:tcPr>
          <w:p>
            <w:pPr>
              <w:spacing w:before="20" w:after="20"/>
            </w:pPr>
            <w:r>
              <w:rPr>
                <w:rFonts w:ascii="Times New Roman" w:hAnsi="Times New Roman"/>
                <w:sz w:val="20"/>
              </w:rPr>
              <w:t xml:space="preserve">5.3x</w:t>
            </w:r>
          </w:p>
        </w:tc>
        <w:tc>
          <w:tcPr>
            <w:vAlign w:val="center"/>
          </w:tcPr>
          <w:p>
            <w:pPr>
              <w:spacing w:before="20" w:after="20"/>
            </w:pPr>
            <w:r>
              <w:rPr>
                <w:rFonts w:ascii="Times New Roman" w:hAnsi="Times New Roman"/>
                <w:sz w:val="20"/>
              </w:rPr>
              <w:t xml:space="preserve">Structure far above chance</w:t>
            </w:r>
          </w:p>
        </w:tc>
      </w:tr>
    </w:tbl>
    <w:p>
      <w:pPr>
        <w:pStyle w:val="Caption"/>
      </w:pPr>
      <w:r>
        <w:t xml:space="preserve">Table 4. Graph-native cluster-quality metrics (analogs of the Silhouette Score).</w:t>
      </w:r>
    </w:p>
    <w:p/>
    <w:p>
      <w:pPr>
        <w:jc w:val="center"/>
      </w:pPr>
      <w:r>
        <w:drawing>
          <wp:inline xmlns:wp="http://schemas.openxmlformats.org/drawingml/2006/wordprocessingDrawing" distT="0" distB="0" distL="0" distR="0">
            <wp:extent cx="5486400" cy="3429000"/>
            <wp:effectExtent l="0" t="0" r="0" b="0"/>
            <wp:docPr id="10" name="Figure10" descr="Per-community conductance for the ten largest communities (lower is better sepa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
                    <pic:cNvPicPr/>
                  </pic:nvPicPr>
                  <pic:blipFill>
                    <a:blip xmlns:r="http://schemas.openxmlformats.org/officeDocument/2006/relationships" r:embed="Ra14c5197c5dc4f7c" cstate="print"/>
                    <a:stretch>
                      <a:fillRect/>
                    </a:stretch>
                  </pic:blipFill>
                  <pic:spPr>
                    <a:xfrm>
                      <a:off x="0" y="0"/>
                      <a:ext cx="5486400" cy="3429000"/>
                    </a:xfrm>
                    <a:prstGeom prst="rect">
                      <a:avLst/>
                    </a:prstGeom>
                  </pic:spPr>
                </pic:pic>
              </a:graphicData>
            </a:graphic>
          </wp:inline>
        </w:drawing>
      </w:r>
    </w:p>
    <w:p>
      <w:pPr>
        <w:pStyle w:val="Caption"/>
      </w:pPr>
      <w:r>
        <w:t xml:space="preserve">Figure 10. Per-community conductance for the ten largest communities (lower is better separated).</w:t>
      </w:r>
    </w:p>
    <w:p>
      <w:pPr>
        <w:pStyle w:val="Heading1"/>
      </w:pPr>
      <w:r>
        <w:t xml:space="preserve">5. Discussion</w:t>
      </w:r>
    </w:p>
    <w:p>
      <w:pPr>
        <w:pStyle w:val="BodyText"/>
      </w:pPr>
      <w:r>
        <w:t xml:space="preserve">The two parts give a consistent picture of the Twitch Gamers network. Structurally it is a sparse, heavy-tailed, small-world-like graph: a power-law tail (alpha = 2.54) with a handful of very high-degree hubs, low global transitivity that is nonetheless an order of magnitude above random, and central nodes that tend to be the most-viewed streamers. These are the hallmarks of an organically grown social platform rather than a randomly wired one.</w:t>
      </w:r>
    </w:p>
    <w:p>
      <w:pPr>
        <w:pStyle w:val="BodyText"/>
      </w:pPr>
      <w:r>
        <w:t xml:space="preserve">On organisation, language matters but is not the whole story. Louvain finds strong, statistically genuine communities (Q = 0.42, 5.3x the null), and the smaller communities map cleanly onto individual languages — German, French, Spanish, Russian — with very high purity. Yet the majority English population fractures into several distinct communities, which is exactly why the NMI against language settles at a partial 0.48 rather than near 1.0. In other words, language acts as a hard boundary for minority-language streamers but leaves the English majority to organise around finer-grained factors such as content topic and follow cliques.</w:t>
      </w:r>
    </w:p>
    <w:p>
      <w:pPr>
        <w:pStyle w:val="BodyText"/>
      </w:pPr>
      <w:r>
        <w:t xml:space="preserve">Limitations. First, the scale-free claim is intentionally hedged: the power-law-versus-lognormal comparison is statistically inconclusive, so we describe the tail as consistent with scale-free rather than definitively scale-free. Second, Louvain's community count is mildly run-dependent (22–24 here); we mitigate this with a fixed seed and a stability check, and the modularity itself is stable to three decimal places. Third, the strong English dominance (74%) structurally caps how high NMI against language can rise, so the 0.48 value should be read as partial association rather than weak association. Finally, the data are a 2018 snapshot and the findings describe that period.</w:t>
      </w:r>
    </w:p>
    <w:p>
      <w:pPr>
        <w:pStyle w:val="Heading1"/>
      </w:pPr>
      <w:r>
        <w:t xml:space="preserve">6. Reproducibility and Conclusion</w:t>
      </w:r>
    </w:p>
    <w:p>
      <w:pPr>
        <w:pStyle w:val="BodyText"/>
      </w:pPr>
      <w:r>
        <w:t xml:space="preserve">The full pipeline is deterministic and runnable end-to-end. Part 1 metrics are deterministic by construction; Part 2 is made reproducible by seeding igraph's RNG (seed = 42) before community detection, after which the headline partition, stability runs, and null model are identical across runs and machines. All figures and tables in this report were generated from a single seeded run; the same numbers are produced by the analysis scripts and by both the in-repo and standalone notebooks.</w:t>
      </w:r>
    </w:p>
    <w:p>
      <w:pPr>
        <w:pStyle w:val="BodyText"/>
      </w:pPr>
      <w:r>
        <w:t xml:space="preserve">In summary, the Twitch Gamers network is a sparse, heavy-tailed, locally clustered social graph whose structurally central users are its most-viewed streamers, and whose community structure is strong, genuine, and partially — but not wholly — organised by broadcast language.</w:t>
      </w:r>
    </w:p>
    <w:sectPr>
      <w:footerReference xmlns:r="http://schemas.openxmlformats.org/officeDocument/2006/relationships" w:type="default" r:id="Raafa3c9734054981"/>
      <w:pgSz w:w="12240" w:h="15840"/>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PAGE</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60" w:line="276" w:lineRule="auto"/>
      </w:pPr>
    </w:pPrDefault>
  </w:docDefaults>
  <w:style w:type="paragraph" w:styleId="BodyText">
    <w:name w:val="Body Text"/>
    <w:basedOn w:val="Normal"/>
    <w:pPr>
      <w:spacing w:before="0" w:after="160" w:line="276" w:lineRule="auto"/>
      <w:jc w:val="both"/>
    </w:pPr>
    <w:rPr>
      <w:rFonts w:ascii="Times New Roman" w:hAnsi="Times New Roman" w:cs="Times New Roman"/>
      <w:sz w:val="22"/>
      <w:szCs w:val="22"/>
    </w:rPr>
  </w:style>
  <w:style w:type="paragraph" w:styleId="Heading1">
    <w:name w:val="Heading 1"/>
    <w:basedOn w:val="Normal"/>
    <w:pPr>
      <w:spacing w:before="320" w:after="120" w:line="276" w:lineRule="auto"/>
      <w:jc w:val="left"/>
      <w:outlineLvl w:val="0"/>
    </w:pPr>
    <w:rPr>
      <w:rFonts w:ascii="Times New Roman" w:hAnsi="Times New Roman" w:cs="Times New Roman"/>
      <w:b/>
      <w:color w:val="1F3864"/>
      <w:sz w:val="32"/>
      <w:szCs w:val="32"/>
    </w:rPr>
  </w:style>
  <w:style w:type="paragraph" w:styleId="Heading2">
    <w:name w:val="Heading 2"/>
    <w:basedOn w:val="Normal"/>
    <w:pPr>
      <w:spacing w:before="240" w:after="100" w:line="276" w:lineRule="auto"/>
      <w:jc w:val="left"/>
      <w:outlineLvl w:val="1"/>
    </w:pPr>
    <w:rPr>
      <w:rFonts w:ascii="Times New Roman" w:hAnsi="Times New Roman" w:cs="Times New Roman"/>
      <w:b/>
      <w:color w:val="2F5496"/>
      <w:sz w:val="26"/>
      <w:szCs w:val="26"/>
    </w:rPr>
  </w:style>
  <w:style w:type="paragraph" w:styleId="ReportTitle">
    <w:name w:val="Report Title"/>
    <w:basedOn w:val="Normal"/>
    <w:pPr>
      <w:spacing w:before="2400" w:after="120" w:line="276" w:lineRule="auto"/>
      <w:jc w:val="center"/>
    </w:pPr>
    <w:rPr>
      <w:rFonts w:ascii="Times New Roman" w:hAnsi="Times New Roman" w:cs="Times New Roman"/>
      <w:b/>
      <w:color w:val="1F3864"/>
      <w:sz w:val="48"/>
      <w:szCs w:val="48"/>
    </w:rPr>
  </w:style>
  <w:style w:type="paragraph" w:styleId="ReportSubtitle">
    <w:name w:val="Report Subtitle"/>
    <w:basedOn w:val="Normal"/>
    <w:pPr>
      <w:spacing w:before="0" w:after="360" w:line="276" w:lineRule="auto"/>
      <w:jc w:val="center"/>
    </w:pPr>
    <w:rPr>
      <w:rFonts w:ascii="Times New Roman" w:hAnsi="Times New Roman" w:cs="Times New Roman"/>
      <w:color w:val="2F5496"/>
      <w:sz w:val="28"/>
      <w:szCs w:val="28"/>
    </w:rPr>
  </w:style>
  <w:style w:type="paragraph" w:styleId="TocHeading">
    <w:name w:val="TOC Heading"/>
    <w:basedOn w:val="Normal"/>
    <w:pPr>
      <w:spacing w:before="0" w:after="200" w:line="276" w:lineRule="auto"/>
      <w:jc w:val="left"/>
    </w:pPr>
    <w:rPr>
      <w:rFonts w:ascii="Times New Roman" w:hAnsi="Times New Roman" w:cs="Times New Roman"/>
      <w:b/>
      <w:color w:val="1F3864"/>
      <w:sz w:val="32"/>
      <w:szCs w:val="32"/>
    </w:rPr>
  </w:style>
  <w:style w:type="paragraph" w:styleId="Caption">
    <w:name w:val="Caption"/>
    <w:basedOn w:val="Normal"/>
    <w:pPr>
      <w:spacing w:before="60" w:after="240" w:line="240" w:lineRule="auto"/>
      <w:jc w:val="center"/>
    </w:pPr>
    <w:rPr>
      <w:rFonts w:ascii="Times New Roman" w:hAnsi="Times New Roman" w:cs="Times New Roman"/>
      <w:i/>
      <w:color w:val="595959"/>
      <w:sz w:val="18"/>
      <w:szCs w:val="18"/>
    </w:rPr>
  </w:style>
</w:styles>
</file>

<file path=word/_rels/document.xml.rels>&#65279;<?xml version="1.0" encoding="utf-8"?><Relationships xmlns="http://schemas.openxmlformats.org/package/2006/relationships"><Relationship Type="http://schemas.openxmlformats.org/officeDocument/2006/relationships/styles" Target="/word/styles.xml" Id="Refdb6c13103843f8" /><Relationship Type="http://schemas.openxmlformats.org/officeDocument/2006/relationships/footer" Target="/word/footer1.xml" Id="Raafa3c9734054981" /><Relationship Type="http://schemas.openxmlformats.org/officeDocument/2006/relationships/image" Target="/media/image.png" Id="Rcf767ef57dd54b0b" /><Relationship Type="http://schemas.openxmlformats.org/officeDocument/2006/relationships/image" Target="/media/image2.png" Id="R82dd6b1998f34f34" /><Relationship Type="http://schemas.openxmlformats.org/officeDocument/2006/relationships/image" Target="/media/image3.png" Id="R92156473ddb843c9" /><Relationship Type="http://schemas.openxmlformats.org/officeDocument/2006/relationships/image" Target="/media/image4.png" Id="R9b9b2fb5748e4d3a" /><Relationship Type="http://schemas.openxmlformats.org/officeDocument/2006/relationships/image" Target="/media/image5.png" Id="R7f88eb6c2d5d40ab" /><Relationship Type="http://schemas.openxmlformats.org/officeDocument/2006/relationships/image" Target="/media/image6.png" Id="R4f2ad059a3bb4c9f" /><Relationship Type="http://schemas.openxmlformats.org/officeDocument/2006/relationships/image" Target="/media/image7.png" Id="R371b0c51a8c349b0" /><Relationship Type="http://schemas.openxmlformats.org/officeDocument/2006/relationships/image" Target="/media/image8.png" Id="R3dcdfade89a748be" /><Relationship Type="http://schemas.openxmlformats.org/officeDocument/2006/relationships/image" Target="/media/image9.png" Id="R0b50e4537a344304" /><Relationship Type="http://schemas.openxmlformats.org/officeDocument/2006/relationships/image" Target="/media/image10.png" Id="Ra14c5197c5dc4f7c" /></Relationships>
</file>