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r>
        <w:drawing>
          <wp:inline xmlns:a="http://schemas.openxmlformats.org/drawingml/2006/main" xmlns:pic="http://schemas.openxmlformats.org/drawingml/2006/picture">
            <wp:extent cx="1691640" cy="704850"/>
            <wp:docPr id="1" name="Picture 1" title="Vornan wordmark" descr="Black Vornan wordmark on a white background."/>
            <wp:cNvGraphicFramePr>
              <a:graphicFrameLocks noChangeAspect="1"/>
            </wp:cNvGraphicFramePr>
            <a:graphic>
              <a:graphicData uri="http://schemas.openxmlformats.org/drawingml/2006/picture">
                <pic:pic>
                  <pic:nvPicPr>
                    <pic:cNvPr id="0" name="vornan-wordmark.png"/>
                    <pic:cNvPicPr/>
                  </pic:nvPicPr>
                  <pic:blipFill>
                    <a:blip r:embed="rId11"/>
                    <a:stretch>
                      <a:fillRect/>
                    </a:stretch>
                  </pic:blipFill>
                  <pic:spPr>
                    <a:xfrm>
                      <a:off x="0" y="0"/>
                      <a:ext cx="1691640" cy="704850"/>
                    </a:xfrm>
                    <a:prstGeom prst="rect"/>
                  </pic:spPr>
                </pic:pic>
              </a:graphicData>
            </a:graphic>
          </wp:inline>
        </w:drawing>
      </w:r>
    </w:p>
    <w:p>
      <w:pPr>
        <w:spacing w:before="0" w:after="240" w:line="264" w:lineRule="auto"/>
      </w:pPr>
      <w:r>
        <w:rPr>
          <w:rFonts w:ascii="Arial" w:hAnsi="Arial"/>
          <w:b/>
          <w:i w:val="0"/>
          <w:color w:val="39523B"/>
          <w:sz w:val="20"/>
        </w:rPr>
        <w:t>ARCHITECTURE &amp; IMPLEMENTATION HANDOFF</w:t>
      </w:r>
    </w:p>
    <w:p>
      <w:pPr>
        <w:keepNext/>
        <w:spacing w:before="0" w:after="120" w:line="264" w:lineRule="auto"/>
      </w:pPr>
      <w:r>
        <w:rPr>
          <w:rFonts w:ascii="Arial" w:hAnsi="Arial"/>
          <w:b/>
          <w:i w:val="0"/>
          <w:color w:val="191818"/>
          <w:sz w:val="60"/>
        </w:rPr>
        <w:t>Vornan Proof</w:t>
      </w:r>
    </w:p>
    <w:p>
      <w:pPr>
        <w:spacing w:before="0" w:after="520" w:line="264" w:lineRule="auto"/>
      </w:pPr>
      <w:r>
        <w:rPr>
          <w:rFonts w:ascii="Arial" w:hAnsi="Arial"/>
          <w:b w:val="0"/>
          <w:i w:val="0"/>
          <w:color w:val="4F5B4F"/>
          <w:sz w:val="30"/>
        </w:rPr>
        <w:t>Standalone customer proof review and approval within the Pathfinder ecosystem</w:t>
      </w:r>
    </w:p>
    <w:p>
      <w:pPr>
        <w:spacing w:before="80" w:after="200" w:line="264" w:lineRule="auto"/>
        <w:ind w:left="115" w:right="115"/>
        <w:shd w:fill="EEF3EB"/>
        <w:pBdr>
          <w:left w:val="single" w:sz="18" w:space="8" w:color="39523B"/>
        </w:pBdr>
      </w:pPr>
      <w:r>
        <w:rPr>
          <w:rFonts w:ascii="Arial" w:hAnsi="Arial"/>
          <w:b/>
          <w:color w:val="39523B"/>
          <w:sz w:val="19"/>
        </w:rPr>
        <w:t xml:space="preserve">RECOMMENDATION  </w:t>
      </w:r>
      <w:r>
        <w:rPr>
          <w:rFonts w:ascii="Arial" w:hAnsi="Arial"/>
          <w:color w:val="191818"/>
          <w:sz w:val="21"/>
        </w:rPr>
        <w:t>Build Proof as a new Vornan-branded customer SPA and dedicated proof service boundary at proof.vornan.co. Reuse Pathfinder’s monorepo, Firebase-admin integration, Lift endpoint configuration patterns, DynamoDB/Secrets/SES foundations, and CloudFront deployment model; isolate public sessions, conditional writes, proof synchronization, revised-art assets, and audit from the current Status implementation.</w:t>
      </w:r>
    </w:p>
    <w:p>
      <w:pPr>
        <w:spacing w:before="0" w:after="40" w:line="264" w:lineRule="auto"/>
      </w:pPr>
      <w:r>
        <w:rPr>
          <w:rFonts w:ascii="Arial" w:hAnsi="Arial"/>
          <w:b/>
          <w:i w:val="0"/>
          <w:color w:val="768070"/>
          <w:sz w:val="18"/>
        </w:rPr>
        <w:t>Prepared for</w:t>
      </w:r>
    </w:p>
    <w:p>
      <w:pPr>
        <w:spacing w:before="0" w:after="240" w:line="264" w:lineRule="auto"/>
      </w:pPr>
      <w:r>
        <w:rPr>
          <w:rFonts w:ascii="Arial" w:hAnsi="Arial"/>
          <w:b/>
          <w:i w:val="0"/>
          <w:color w:val="191818"/>
          <w:sz w:val="22"/>
        </w:rPr>
        <w:t>Vornan / Pathfinder product and engineering</w:t>
      </w:r>
    </w:p>
    <w:p>
      <w:pPr>
        <w:spacing w:before="0" w:after="40" w:line="264" w:lineRule="auto"/>
      </w:pPr>
      <w:r>
        <w:rPr>
          <w:rFonts w:ascii="Arial" w:hAnsi="Arial"/>
          <w:b/>
          <w:i w:val="0"/>
          <w:color w:val="768070"/>
          <w:sz w:val="18"/>
        </w:rPr>
        <w:t>Date</w:t>
      </w:r>
    </w:p>
    <w:p>
      <w:pPr>
        <w:spacing w:before="0" w:after="240" w:line="264" w:lineRule="auto"/>
      </w:pPr>
      <w:r>
        <w:rPr>
          <w:rFonts w:ascii="Arial" w:hAnsi="Arial"/>
          <w:b w:val="0"/>
          <w:i w:val="0"/>
          <w:color w:val="191818"/>
          <w:sz w:val="22"/>
        </w:rPr>
        <w:t>July 19, 2026</w:t>
      </w:r>
    </w:p>
    <w:p>
      <w:pPr>
        <w:spacing w:before="0" w:after="40" w:line="264" w:lineRule="auto"/>
      </w:pPr>
      <w:r>
        <w:rPr>
          <w:rFonts w:ascii="Arial" w:hAnsi="Arial"/>
          <w:b/>
          <w:i w:val="0"/>
          <w:color w:val="768070"/>
          <w:sz w:val="18"/>
        </w:rPr>
        <w:t>Basis</w:t>
      </w:r>
    </w:p>
    <w:p>
      <w:pPr>
        <w:spacing w:before="0" w:after="400" w:line="264" w:lineRule="auto"/>
      </w:pPr>
      <w:r>
        <w:rPr>
          <w:rFonts w:ascii="Arial" w:hAnsi="Arial"/>
          <w:b w:val="0"/>
          <w:i w:val="0"/>
          <w:color w:val="191818"/>
          <w:sz w:val="21"/>
        </w:rPr>
        <w:t>60-page Adspace standalone handoff, five supplied UI screenshots, Pathfinder source code, checked-in runbooks, and read-only production stack inspection.</w:t>
      </w:r>
    </w:p>
    <w:p>
      <w:pPr>
        <w:spacing w:before="0" w:after="0" w:line="264" w:lineRule="auto"/>
      </w:pPr>
      <w:r>
        <w:rPr>
          <w:rFonts w:ascii="Arial" w:hAnsi="Arial"/>
          <w:b w:val="0"/>
          <w:i/>
          <w:color w:val="768070"/>
          <w:sz w:val="19"/>
        </w:rPr>
        <w:t>Status: architecture recommendation and decision questionnaire — not an implementation authorization</w:t>
      </w:r>
    </w:p>
    <w:p>
      <w:r>
        <w:br w:type="page"/>
      </w:r>
    </w:p>
    <w:p>
      <w:pPr>
        <w:pStyle w:val="Heading1"/>
        <w:keepNext/>
      </w:pPr>
      <w:r>
        <w:rPr>
          <w:rFonts w:ascii="Arial" w:hAnsi="Arial"/>
          <w:b/>
          <w:color w:val="39523B"/>
          <w:sz w:val="32"/>
        </w:rPr>
        <w:t>How to use this document</w:t>
      </w:r>
    </w:p>
    <w:p>
      <w:pPr>
        <w:spacing w:before="0" w:after="120" w:line="264" w:lineRule="auto"/>
      </w:pPr>
      <w:r>
        <w:rPr>
          <w:rFonts w:ascii="Arial" w:hAnsi="Arial"/>
          <w:b w:val="0"/>
          <w:i w:val="0"/>
          <w:color w:val="191818"/>
          <w:sz w:val="22"/>
        </w:rPr>
        <w:t>Sections 1–4 define the recommended product and architecture. Sections 5–13 provide the engineering contract. Sections 14–17 define quality, rollout, risk, and acceptance. Section 18 is the decision questionnaire: each item is either required before build, required before a write-enabled pilot, or safe to accept with the proposed default.</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1800"/>
        <w:gridCol w:w="1800"/>
        <w:gridCol w:w="5760"/>
      </w:tblGrid>
      <w:tr>
        <w:trPr>
          <w:tblHeader w:val="true"/>
        </w:trPr>
        <w:tc>
          <w:tcPr>
            <w:tcW w:type="dxa" w:w="18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Reader</w:t>
            </w:r>
          </w:p>
        </w:tc>
        <w:tc>
          <w:tcPr>
            <w:tcW w:type="dxa" w:w="18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Start here</w:t>
            </w:r>
          </w:p>
        </w:tc>
        <w:tc>
          <w:tcPr>
            <w:tcW w:type="dxa" w:w="57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Primary outcome</w:t>
            </w:r>
          </w:p>
        </w:tc>
      </w:tr>
      <w:tr>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8"/>
              </w:rPr>
              <w:t>Product / leadership</w:t>
            </w:r>
          </w:p>
        </w:tc>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8"/>
              </w:rPr>
              <w:t>1, 3, 4, 10, 16, 18</w:t>
            </w:r>
          </w:p>
        </w:tc>
        <w:tc>
          <w:tcPr>
            <w:tcW w:type="dxa" w:w="5760"/>
            <w:tcMar>
              <w:top w:w="80" w:type="dxa"/>
              <w:bottom w:w="80" w:type="dxa"/>
              <w:start w:w="120" w:type="dxa"/>
              <w:end w:w="120" w:type="dxa"/>
            </w:tcMar>
            <w:vAlign w:val="center"/>
          </w:tcPr>
          <w:p>
            <w:pPr>
              <w:spacing w:before="0" w:after="0" w:line="259" w:lineRule="auto"/>
            </w:pPr>
            <w:r>
              <w:rPr>
                <w:rFonts w:ascii="Arial" w:hAnsi="Arial"/>
                <w:color w:val="191818"/>
                <w:sz w:val="18"/>
              </w:rPr>
              <w:t>Approve scope, access policy, customer experience, and rollout.</w:t>
            </w:r>
          </w:p>
        </w:tc>
      </w:tr>
      <w:tr>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8"/>
              </w:rPr>
              <w:t>Engineering</w:t>
            </w:r>
          </w:p>
        </w:tc>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8"/>
              </w:rPr>
              <w:t>2, 5–9, 11–15</w:t>
            </w:r>
          </w:p>
        </w:tc>
        <w:tc>
          <w:tcPr>
            <w:tcW w:type="dxa" w:w="5760"/>
            <w:tcMar>
              <w:top w:w="80" w:type="dxa"/>
              <w:bottom w:w="80" w:type="dxa"/>
              <w:start w:w="120" w:type="dxa"/>
              <w:end w:w="120" w:type="dxa"/>
            </w:tcMar>
            <w:vAlign w:val="center"/>
          </w:tcPr>
          <w:p>
            <w:pPr>
              <w:spacing w:before="0" w:after="0" w:line="259" w:lineRule="auto"/>
            </w:pPr>
            <w:r>
              <w:rPr>
                <w:rFonts w:ascii="Arial" w:hAnsi="Arial"/>
                <w:color w:val="191818"/>
                <w:sz w:val="18"/>
              </w:rPr>
              <w:t>Implement service boundaries, data contracts, Lift flows, and infrastructure.</w:t>
            </w:r>
          </w:p>
        </w:tc>
      </w:tr>
      <w:tr>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8"/>
              </w:rPr>
              <w:t>Operations / support</w:t>
            </w:r>
          </w:p>
        </w:tc>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8"/>
              </w:rPr>
              <w:t>10, 12, 14, 17, 18</w:t>
            </w:r>
          </w:p>
        </w:tc>
        <w:tc>
          <w:tcPr>
            <w:tcW w:type="dxa" w:w="5760"/>
            <w:tcMar>
              <w:top w:w="80" w:type="dxa"/>
              <w:bottom w:w="80" w:type="dxa"/>
              <w:start w:w="120" w:type="dxa"/>
              <w:end w:w="120" w:type="dxa"/>
            </w:tcMar>
            <w:vAlign w:val="center"/>
          </w:tcPr>
          <w:p>
            <w:pPr>
              <w:spacing w:before="0" w:after="0" w:line="259" w:lineRule="auto"/>
            </w:pPr>
            <w:r>
              <w:rPr>
                <w:rFonts w:ascii="Arial" w:hAnsi="Arial"/>
                <w:color w:val="191818"/>
                <w:sz w:val="18"/>
              </w:rPr>
              <w:t>Define notifications, support ownership, runbooks, and retention.</w:t>
            </w:r>
          </w:p>
        </w:tc>
      </w:tr>
      <w:tr>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8"/>
              </w:rPr>
              <w:t>Lift integration owner</w:t>
            </w:r>
          </w:p>
        </w:tc>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8"/>
              </w:rPr>
              <w:t>7, 11, 15, 18</w:t>
            </w:r>
          </w:p>
        </w:tc>
        <w:tc>
          <w:tcPr>
            <w:tcW w:type="dxa" w:w="5760"/>
            <w:tcMar>
              <w:top w:w="80" w:type="dxa"/>
              <w:bottom w:w="80" w:type="dxa"/>
              <w:start w:w="120" w:type="dxa"/>
              <w:end w:w="120" w:type="dxa"/>
            </w:tcMar>
            <w:vAlign w:val="center"/>
          </w:tcPr>
          <w:p>
            <w:pPr>
              <w:spacing w:before="0" w:after="0" w:line="259" w:lineRule="auto"/>
            </w:pPr>
            <w:r>
              <w:rPr>
                <w:rFonts w:ascii="Arial" w:hAnsi="Arial"/>
                <w:color w:val="191818"/>
                <w:sz w:val="18"/>
              </w:rPr>
              <w:t>Confirm write contract, credentials, file constraints, and QA path.</w:t>
            </w:r>
          </w:p>
        </w:tc>
      </w:tr>
    </w:tbl>
    <w:p>
      <w:pPr>
        <w:spacing w:after="60"/>
      </w:pPr>
    </w:p>
    <w:p>
      <w:pPr>
        <w:pStyle w:val="Heading1"/>
        <w:keepNext/>
      </w:pPr>
      <w:r>
        <w:rPr>
          <w:rFonts w:ascii="Arial" w:hAnsi="Arial"/>
          <w:b/>
          <w:color w:val="39523B"/>
          <w:sz w:val="32"/>
        </w:rPr>
        <w:t>1. Executive recommendation</w:t>
      </w:r>
    </w:p>
    <w:p>
      <w:pPr>
        <w:spacing w:before="80" w:after="200" w:line="264" w:lineRule="auto"/>
        <w:ind w:left="115" w:right="115"/>
        <w:shd w:fill="EEF3EB"/>
        <w:pBdr>
          <w:left w:val="single" w:sz="18" w:space="8" w:color="39523B"/>
        </w:pBdr>
      </w:pPr>
      <w:r>
        <w:rPr>
          <w:rFonts w:ascii="Arial" w:hAnsi="Arial"/>
          <w:b/>
          <w:color w:val="39523B"/>
          <w:sz w:val="19"/>
        </w:rPr>
        <w:t xml:space="preserve">DECISION  </w:t>
      </w:r>
      <w:r>
        <w:rPr>
          <w:rFonts w:ascii="Arial" w:hAnsi="Arial"/>
          <w:color w:val="191818"/>
          <w:sz w:val="21"/>
        </w:rPr>
        <w:t>Proceed with Vornan Proof as a new ecosystem surface at proof.vornan.co, not as a re-skinned page inside Status and not as a runtime dependency on Adspace. Preserve the proven Adspace workspace behavior; rebuild the data, access, and infrastructure layers around Lift order number + attachment identity.</w:t>
      </w:r>
    </w:p>
    <w:p>
      <w:pPr>
        <w:spacing w:before="0" w:after="120" w:line="264" w:lineRule="auto"/>
      </w:pPr>
      <w:r>
        <w:rPr>
          <w:rFonts w:ascii="Arial" w:hAnsi="Arial"/>
          <w:b w:val="0"/>
          <w:i w:val="0"/>
          <w:color w:val="191818"/>
          <w:sz w:val="22"/>
        </w:rPr>
        <w:t>The strongest reusable pattern is the customer workflow: a compact order command bar, an independently scrollable proof queue, a proof-focused detail canvas, feedback acknowledgement, file history, and guarded approve/revision actions. The strongest reusable Pathfinder capabilities are the monorepo/toolchain, Vornan theme, Lift read endpoints, Firebase-authenticated admin API, token hashing, DynamoDB, private S3/CloudFront hosting, Secrets Manager, SES, deployment workflows, and established Vornan domains.</w:t>
      </w:r>
    </w:p>
    <w:p>
      <w:pPr>
        <w:spacing w:before="0" w:after="120" w:line="264" w:lineRule="auto"/>
      </w:pPr>
      <w:r>
        <w:rPr>
          <w:rFonts w:ascii="Arial" w:hAnsi="Arial"/>
          <w:b w:val="0"/>
          <w:i w:val="0"/>
          <w:color w:val="191818"/>
          <w:sz w:val="22"/>
        </w:rPr>
        <w:t>The current Status app is a useful foundation but not the correct security or persistence boundary for Proof. Status sends a raw bearer token in a URL path on each read, generates links from Pathfinder jobs, keeps proofing read-only, and uses snapshots suited to status rollups. Proof introduces customer writes, large uploads, optimistic concurrency, uncertain upstream outcomes, and a durable artifact/audit lifecycle. Those differences justify a dedicated Proof service boundary while retaining shared ecosystem code.</w:t>
      </w:r>
    </w:p>
    <w:p>
      <w:pPr>
        <w:pStyle w:val="Heading2"/>
        <w:keepNext/>
      </w:pPr>
      <w:r>
        <w:rPr>
          <w:rFonts w:ascii="Arial" w:hAnsi="Arial"/>
          <w:b/>
          <w:color w:val="39523B"/>
          <w:sz w:val="26"/>
        </w:rPr>
        <w:t>1.1 Recommended decisions</w:t>
      </w:r>
    </w:p>
    <w:p>
      <w:pPr>
        <w:pStyle w:val="VornanBullet"/>
        <w:spacing w:after="160" w:line="280" w:lineRule="auto"/>
        <w:ind w:left="720" w:hanging="360"/>
      </w:pPr>
      <w:r>
        <w:rPr>
          <w:rFonts w:ascii="Arial" w:hAnsi="Arial"/>
          <w:color w:val="191818"/>
          <w:sz w:val="21"/>
        </w:rPr>
        <w:t>Order-centric aggregate: Lift order number is the only required business input.</w:t>
      </w:r>
    </w:p>
    <w:p>
      <w:pPr>
        <w:pStyle w:val="VornanBullet"/>
        <w:spacing w:after="160" w:line="280" w:lineRule="auto"/>
        <w:ind w:left="720" w:hanging="360"/>
      </w:pPr>
      <w:r>
        <w:rPr>
          <w:rFonts w:ascii="Arial" w:hAnsi="Arial"/>
          <w:color w:val="191818"/>
          <w:sz w:val="21"/>
        </w:rPr>
        <w:t>Attachment-centric decisions: each active Lift ATTACHMENT_ID is one customer task; ORDER_LINE_ID supplies grouping and line context.</w:t>
      </w:r>
    </w:p>
    <w:p>
      <w:pPr>
        <w:pStyle w:val="VornanBullet"/>
        <w:spacing w:after="160" w:line="280" w:lineRule="auto"/>
        <w:ind w:left="720" w:hanging="360"/>
      </w:pPr>
      <w:r>
        <w:rPr>
          <w:rFonts w:ascii="Arial" w:hAnsi="Arial"/>
          <w:color w:val="191818"/>
          <w:sz w:val="21"/>
        </w:rPr>
        <w:t>Separate customer SPA: add apps/proof and deploy it through private S3 + CloudFront at proof.vornan.co.</w:t>
      </w:r>
    </w:p>
    <w:p>
      <w:pPr>
        <w:pStyle w:val="VornanBullet"/>
        <w:spacing w:after="160" w:line="280" w:lineRule="auto"/>
        <w:ind w:left="720" w:hanging="360"/>
      </w:pPr>
      <w:r>
        <w:rPr>
          <w:rFonts w:ascii="Arial" w:hAnsi="Arial"/>
          <w:color w:val="191818"/>
          <w:sz w:val="21"/>
        </w:rPr>
        <w:t>Dedicated proof service boundary: public session, decision, synchronization, upload, and audit functions use dedicated DynamoDB tables and queues.</w:t>
      </w:r>
    </w:p>
    <w:p>
      <w:pPr>
        <w:pStyle w:val="VornanBullet"/>
        <w:spacing w:after="160" w:line="280" w:lineRule="auto"/>
        <w:ind w:left="720" w:hanging="360"/>
      </w:pPr>
      <w:r>
        <w:rPr>
          <w:rFonts w:ascii="Arial" w:hAnsi="Arial"/>
          <w:color w:val="191818"/>
          <w:sz w:val="21"/>
        </w:rPr>
        <w:t>Shared Pathfinder control plane: existing Firebase-authenticated Pathfinder surfaces create/revoke grants, inspect sync health, and view redacted audit.</w:t>
      </w:r>
    </w:p>
    <w:p>
      <w:pPr>
        <w:pStyle w:val="VornanBullet"/>
        <w:spacing w:after="160" w:line="280" w:lineRule="auto"/>
        <w:ind w:left="720" w:hanging="360"/>
      </w:pPr>
      <w:r>
        <w:rPr>
          <w:rFonts w:ascii="Arial" w:hAnsi="Arial"/>
          <w:color w:val="191818"/>
          <w:sz w:val="21"/>
        </w:rPr>
        <w:t>Fragment link + exchanged session: raw grant token appears only after #/access/, is exchanged once, then removed from the URL.</w:t>
      </w:r>
    </w:p>
    <w:p>
      <w:pPr>
        <w:pStyle w:val="VornanBullet"/>
        <w:spacing w:after="160" w:line="280" w:lineRule="auto"/>
        <w:ind w:left="720" w:hanging="360"/>
      </w:pPr>
      <w:r>
        <w:rPr>
          <w:rFonts w:ascii="Arial" w:hAnsi="Arial"/>
          <w:color w:val="191818"/>
          <w:sz w:val="21"/>
        </w:rPr>
        <w:t>Cached normalized reads: page loads do not block on Lift; stale interactive orders queue background refresh.</w:t>
      </w:r>
    </w:p>
    <w:p>
      <w:pPr>
        <w:pStyle w:val="VornanBullet"/>
        <w:spacing w:after="160" w:line="280" w:lineRule="auto"/>
        <w:ind w:left="720" w:hanging="360"/>
      </w:pPr>
      <w:r>
        <w:rPr>
          <w:rFonts w:ascii="Arial" w:hAnsi="Arial"/>
          <w:color w:val="191818"/>
          <w:sz w:val="21"/>
        </w:rPr>
        <w:t>Direct signed asset delivery: customer revisions remain private and are copied to a short-lived Lift-outbound object that returns 200 without redirects.</w:t>
      </w:r>
    </w:p>
    <w:p>
      <w:pPr>
        <w:pStyle w:val="VornanBullet"/>
        <w:spacing w:after="160" w:line="280" w:lineRule="auto"/>
        <w:ind w:left="720" w:hanging="360"/>
      </w:pPr>
      <w:r>
        <w:rPr>
          <w:rFonts w:ascii="Arial" w:hAnsi="Arial"/>
          <w:color w:val="191818"/>
          <w:sz w:val="21"/>
        </w:rPr>
        <w:t>CloudFormation-first infrastructure: stay consistent with the current Pathfinder repository rather than introducing CDK only for Proof.</w:t>
      </w:r>
    </w:p>
    <w:p>
      <w:pPr>
        <w:pStyle w:val="VornanBullet"/>
        <w:spacing w:after="160" w:line="280" w:lineRule="auto"/>
        <w:ind w:left="720" w:hanging="360"/>
      </w:pPr>
      <w:r>
        <w:rPr>
          <w:rFonts w:ascii="Arial" w:hAnsi="Arial"/>
          <w:color w:val="191818"/>
          <w:sz w:val="21"/>
        </w:rPr>
        <w:t>Light-first Vornan interface: Plus Jakarta Sans where packaged, Vornan forest/black/stone surfaces, lime as a restrained accent, and no Adspace identity or project concepts.</w:t>
      </w:r>
    </w:p>
    <w:p>
      <w:pPr>
        <w:pStyle w:val="Heading2"/>
        <w:keepNext/>
      </w:pPr>
      <w:r>
        <w:rPr>
          <w:rFonts w:ascii="Arial" w:hAnsi="Arial"/>
          <w:b/>
          <w:color w:val="39523B"/>
          <w:sz w:val="26"/>
        </w:rPr>
        <w:t>1.2 Target outcome</w:t>
      </w:r>
    </w:p>
    <w:p>
      <w:pPr>
        <w:spacing w:before="0" w:after="120" w:line="264" w:lineRule="auto"/>
      </w:pPr>
      <w:r>
        <w:rPr>
          <w:rFonts w:ascii="Arial" w:hAnsi="Arial"/>
          <w:b w:val="0"/>
          <w:i w:val="0"/>
          <w:color w:val="191818"/>
          <w:sz w:val="22"/>
        </w:rPr>
        <w:t>An operator or automation provides A########, Proof validates and synchronizes the Lift order, creates a scoped customer grant, and sends a private Vornan link. The recipient reviews each active proof attachment, opens current feedback, identifies themselves before a write, approves for print or submits revised art, and sees a Lift-confirmed result. Production and completed orders remain available as read-only proof packets.</w:t>
      </w:r>
    </w:p>
    <w:p>
      <w:pPr>
        <w:pStyle w:val="Heading1"/>
        <w:keepNext/>
      </w:pPr>
      <w:r>
        <w:rPr>
          <w:rFonts w:ascii="Arial" w:hAnsi="Arial"/>
          <w:b/>
          <w:color w:val="39523B"/>
          <w:sz w:val="32"/>
        </w:rPr>
        <w:t>2. Evidence reviewed and current ecosystem baseline</w:t>
      </w:r>
    </w:p>
    <w:p>
      <w:pPr>
        <w:pStyle w:val="Heading2"/>
        <w:keepNext/>
      </w:pPr>
      <w:r>
        <w:rPr>
          <w:rFonts w:ascii="Arial" w:hAnsi="Arial"/>
          <w:b/>
          <w:color w:val="39523B"/>
          <w:sz w:val="26"/>
        </w:rPr>
        <w:t>2.1 Source set</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3000"/>
        <w:gridCol w:w="6360"/>
      </w:tblGrid>
      <w:tr>
        <w:trPr>
          <w:tblHeader w:val="true"/>
        </w:trPr>
        <w:tc>
          <w:tcPr>
            <w:tcW w:type="dxa" w:w="30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Source</w:t>
            </w:r>
          </w:p>
        </w:tc>
        <w:tc>
          <w:tcPr>
            <w:tcW w:type="dxa" w:w="63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What it established</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8"/>
              </w:rPr>
              <w:t>Pathfinder-Proof-Standalone-Handoff.docx</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8"/>
              </w:rPr>
              <w:t>60 rendered pages; product boundary, data model, Lift endpoints, decision JWT/body, sync rules, security, AWS pattern, UI behavior, testing, and unresolved Lift decisions.</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8"/>
              </w:rPr>
              <w:t>Five Adspace screenshots</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8"/>
              </w:rPr>
              <w:t>Desktop queue/detail proportions; pending/approved states; two-up original/proof viewer; feedback gate/modal; file-history modal; compact information density.</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8"/>
              </w:rPr>
              <w:t>Pathfinder monorepo</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8"/>
              </w:rPr>
              <w:t>npm workspaces; React 19/Vite 6/TypeScript; Express 4 Lambda API; Lift adapter; purpose-specific DynamoDB persistence; Vornan tokens and brand assets.</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8"/>
              </w:rPr>
              <w:t>Status application</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8"/>
              </w:rPr>
              <w:t>Customer order+email request, neutral 202, 32-byte token hashing, DynamoDB TTL, read-only Lift proof rollup, Vornan public UI, SES link email.</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8"/>
              </w:rPr>
              <w:t>AWS manifests and live stack reads</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8"/>
              </w:rPr>
              <w:t>CloudFront/S3 admin + Status hosting, API Gateway + Node 20 Lambda, custom API domain, 13 Pathfinder DynamoDB tables, encrypted on-demand status tables with PITR/TTL.</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8"/>
              </w:rPr>
              <w:t>Runbooks and thread handoff</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8"/>
              </w:rPr>
              <w:t>Production URLs, Cloudflare DNS ownership, Firebase allowed domains, Secrets Manager prefix, SES configuration status, deployment and live-submit gates.</w:t>
            </w:r>
          </w:p>
        </w:tc>
      </w:tr>
    </w:tbl>
    <w:p>
      <w:pPr>
        <w:spacing w:after="60"/>
      </w:pPr>
    </w:p>
    <w:p>
      <w:pPr>
        <w:pStyle w:val="Heading2"/>
        <w:keepNext/>
      </w:pPr>
      <w:r>
        <w:rPr>
          <w:rFonts w:ascii="Arial" w:hAnsi="Arial"/>
          <w:b/>
          <w:color w:val="39523B"/>
          <w:sz w:val="26"/>
        </w:rPr>
        <w:t>2.2 Current stack snapshot (validated July 19, 2026)</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1500"/>
        <w:gridCol w:w="3960"/>
        <w:gridCol w:w="3900"/>
      </w:tblGrid>
      <w:tr>
        <w:trPr>
          <w:tblHeader w:val="true"/>
        </w:trPr>
        <w:tc>
          <w:tcPr>
            <w:tcW w:type="dxa" w:w="1500"/>
            <w:shd w:fill="EEF3EB"/>
            <w:tcMar>
              <w:top w:w="80" w:type="dxa"/>
              <w:bottom w:w="80" w:type="dxa"/>
              <w:start w:w="120" w:type="dxa"/>
              <w:end w:w="120" w:type="dxa"/>
            </w:tcMar>
            <w:vAlign w:val="center"/>
          </w:tcPr>
          <w:p>
            <w:pPr>
              <w:spacing w:before="0" w:after="0" w:line="259" w:lineRule="auto"/>
            </w:pPr>
            <w:r>
              <w:rPr>
                <w:rFonts w:ascii="Arial" w:hAnsi="Arial"/>
                <w:b/>
                <w:color w:val="39523B"/>
                <w:sz w:val="17"/>
              </w:rPr>
              <w:t>Layer</w:t>
            </w:r>
          </w:p>
        </w:tc>
        <w:tc>
          <w:tcPr>
            <w:tcW w:type="dxa" w:w="3960"/>
            <w:shd w:fill="EEF3EB"/>
            <w:tcMar>
              <w:top w:w="80" w:type="dxa"/>
              <w:bottom w:w="80" w:type="dxa"/>
              <w:start w:w="120" w:type="dxa"/>
              <w:end w:w="120" w:type="dxa"/>
            </w:tcMar>
            <w:vAlign w:val="center"/>
          </w:tcPr>
          <w:p>
            <w:pPr>
              <w:spacing w:before="0" w:after="0" w:line="259" w:lineRule="auto"/>
            </w:pPr>
            <w:r>
              <w:rPr>
                <w:rFonts w:ascii="Arial" w:hAnsi="Arial"/>
                <w:b/>
                <w:color w:val="39523B"/>
                <w:sz w:val="17"/>
              </w:rPr>
              <w:t>Current Pathfinder / Status implementation</w:t>
            </w:r>
          </w:p>
        </w:tc>
        <w:tc>
          <w:tcPr>
            <w:tcW w:type="dxa" w:w="3900"/>
            <w:shd w:fill="EEF3EB"/>
            <w:tcMar>
              <w:top w:w="80" w:type="dxa"/>
              <w:bottom w:w="80" w:type="dxa"/>
              <w:start w:w="120" w:type="dxa"/>
              <w:end w:w="120" w:type="dxa"/>
            </w:tcMar>
            <w:vAlign w:val="center"/>
          </w:tcPr>
          <w:p>
            <w:pPr>
              <w:spacing w:before="0" w:after="0" w:line="259" w:lineRule="auto"/>
            </w:pPr>
            <w:r>
              <w:rPr>
                <w:rFonts w:ascii="Arial" w:hAnsi="Arial"/>
                <w:b/>
                <w:color w:val="39523B"/>
                <w:sz w:val="17"/>
              </w:rPr>
              <w:t>Proof implication</w:t>
            </w:r>
          </w:p>
        </w:tc>
      </w:tr>
      <w:tr>
        <w:tc>
          <w:tcPr>
            <w:tcW w:type="dxa" w:w="1500"/>
            <w:tcMar>
              <w:top w:w="80" w:type="dxa"/>
              <w:bottom w:w="80" w:type="dxa"/>
              <w:start w:w="120" w:type="dxa"/>
              <w:end w:w="120" w:type="dxa"/>
            </w:tcMar>
            <w:vAlign w:val="center"/>
          </w:tcPr>
          <w:p>
            <w:pPr>
              <w:spacing w:before="0" w:after="0" w:line="259" w:lineRule="auto"/>
            </w:pPr>
            <w:r>
              <w:rPr>
                <w:rFonts w:ascii="Arial" w:hAnsi="Arial"/>
                <w:color w:val="191818"/>
                <w:sz w:val="17"/>
              </w:rPr>
              <w:t>Repository</w:t>
            </w:r>
          </w:p>
        </w:tc>
        <w:tc>
          <w:tcPr>
            <w:tcW w:type="dxa" w:w="3960"/>
            <w:tcMar>
              <w:top w:w="80" w:type="dxa"/>
              <w:bottom w:w="80" w:type="dxa"/>
              <w:start w:w="120" w:type="dxa"/>
              <w:end w:w="120" w:type="dxa"/>
            </w:tcMar>
            <w:vAlign w:val="center"/>
          </w:tcPr>
          <w:p>
            <w:pPr>
              <w:spacing w:before="0" w:after="0" w:line="259" w:lineRule="auto"/>
            </w:pPr>
            <w:r>
              <w:rPr>
                <w:rFonts w:ascii="Arial" w:hAnsi="Arial"/>
                <w:color w:val="191818"/>
                <w:sz w:val="17"/>
              </w:rPr>
              <w:t>npm workspaces: apps/web, apps/status, apps/api and shared packages.</w:t>
            </w:r>
          </w:p>
        </w:tc>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7"/>
              </w:rPr>
              <w:t>Add apps/proof plus shared proof-domain and Lift-proof adapter packages.</w:t>
            </w:r>
          </w:p>
        </w:tc>
      </w:tr>
      <w:tr>
        <w:tc>
          <w:tcPr>
            <w:tcW w:type="dxa" w:w="1500"/>
            <w:tcMar>
              <w:top w:w="80" w:type="dxa"/>
              <w:bottom w:w="80" w:type="dxa"/>
              <w:start w:w="120" w:type="dxa"/>
              <w:end w:w="120" w:type="dxa"/>
            </w:tcMar>
            <w:vAlign w:val="center"/>
          </w:tcPr>
          <w:p>
            <w:pPr>
              <w:spacing w:before="0" w:after="0" w:line="259" w:lineRule="auto"/>
            </w:pPr>
            <w:r>
              <w:rPr>
                <w:rFonts w:ascii="Arial" w:hAnsi="Arial"/>
                <w:color w:val="191818"/>
                <w:sz w:val="17"/>
              </w:rPr>
              <w:t>Frontend</w:t>
            </w:r>
          </w:p>
        </w:tc>
        <w:tc>
          <w:tcPr>
            <w:tcW w:type="dxa" w:w="3960"/>
            <w:tcMar>
              <w:top w:w="80" w:type="dxa"/>
              <w:bottom w:w="80" w:type="dxa"/>
              <w:start w:w="120" w:type="dxa"/>
              <w:end w:w="120" w:type="dxa"/>
            </w:tcMar>
            <w:vAlign w:val="center"/>
          </w:tcPr>
          <w:p>
            <w:pPr>
              <w:spacing w:before="0" w:after="0" w:line="259" w:lineRule="auto"/>
            </w:pPr>
            <w:r>
              <w:rPr>
                <w:rFonts w:ascii="Arial" w:hAnsi="Arial"/>
                <w:color w:val="191818"/>
                <w:sz w:val="17"/>
              </w:rPr>
              <w:t>React 19, Vite 6, TypeScript; Status is a separate SPA.</w:t>
            </w:r>
          </w:p>
        </w:tc>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7"/>
              </w:rPr>
              <w:t>Follow the Status separation pattern; do not place customer Proof routes in the admin bundle.</w:t>
            </w:r>
          </w:p>
        </w:tc>
      </w:tr>
      <w:tr>
        <w:tc>
          <w:tcPr>
            <w:tcW w:type="dxa" w:w="1500"/>
            <w:tcMar>
              <w:top w:w="80" w:type="dxa"/>
              <w:bottom w:w="80" w:type="dxa"/>
              <w:start w:w="120" w:type="dxa"/>
              <w:end w:w="120" w:type="dxa"/>
            </w:tcMar>
            <w:vAlign w:val="center"/>
          </w:tcPr>
          <w:p>
            <w:pPr>
              <w:spacing w:before="0" w:after="0" w:line="259" w:lineRule="auto"/>
            </w:pPr>
            <w:r>
              <w:rPr>
                <w:rFonts w:ascii="Arial" w:hAnsi="Arial"/>
                <w:color w:val="191818"/>
                <w:sz w:val="17"/>
              </w:rPr>
              <w:t>API</w:t>
            </w:r>
          </w:p>
        </w:tc>
        <w:tc>
          <w:tcPr>
            <w:tcW w:type="dxa" w:w="3960"/>
            <w:tcMar>
              <w:top w:w="80" w:type="dxa"/>
              <w:bottom w:w="80" w:type="dxa"/>
              <w:start w:w="120" w:type="dxa"/>
              <w:end w:w="120" w:type="dxa"/>
            </w:tcMar>
            <w:vAlign w:val="center"/>
          </w:tcPr>
          <w:p>
            <w:pPr>
              <w:spacing w:before="0" w:after="0" w:line="259" w:lineRule="auto"/>
            </w:pPr>
            <w:r>
              <w:rPr>
                <w:rFonts w:ascii="Arial" w:hAnsi="Arial"/>
                <w:color w:val="191818"/>
                <w:sz w:val="17"/>
              </w:rPr>
              <w:t>Express + serverless-http on Node.js 20 Lambda behind API Gateway HTTP API; 30-second timeout, 1 GB memory.</w:t>
            </w:r>
          </w:p>
        </w:tc>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7"/>
              </w:rPr>
              <w:t>Reuse internal auth/services, but split public Proof and worker execution from the monolithic request path.</w:t>
            </w:r>
          </w:p>
        </w:tc>
      </w:tr>
      <w:tr>
        <w:tc>
          <w:tcPr>
            <w:tcW w:type="dxa" w:w="1500"/>
            <w:tcMar>
              <w:top w:w="80" w:type="dxa"/>
              <w:bottom w:w="80" w:type="dxa"/>
              <w:start w:w="120" w:type="dxa"/>
              <w:end w:w="120" w:type="dxa"/>
            </w:tcMar>
            <w:vAlign w:val="center"/>
          </w:tcPr>
          <w:p>
            <w:pPr>
              <w:spacing w:before="0" w:after="0" w:line="259" w:lineRule="auto"/>
            </w:pPr>
            <w:r>
              <w:rPr>
                <w:rFonts w:ascii="Arial" w:hAnsi="Arial"/>
                <w:color w:val="191818"/>
                <w:sz w:val="17"/>
              </w:rPr>
              <w:t>Admin auth</w:t>
            </w:r>
          </w:p>
        </w:tc>
        <w:tc>
          <w:tcPr>
            <w:tcW w:type="dxa" w:w="3960"/>
            <w:tcMar>
              <w:top w:w="80" w:type="dxa"/>
              <w:bottom w:w="80" w:type="dxa"/>
              <w:start w:w="120" w:type="dxa"/>
              <w:end w:w="120" w:type="dxa"/>
            </w:tcMar>
            <w:vAlign w:val="center"/>
          </w:tcPr>
          <w:p>
            <w:pPr>
              <w:spacing w:before="0" w:after="0" w:line="259" w:lineRule="auto"/>
            </w:pPr>
            <w:r>
              <w:rPr>
                <w:rFonts w:ascii="Arial" w:hAnsi="Arial"/>
                <w:color w:val="191818"/>
                <w:sz w:val="17"/>
              </w:rPr>
              <w:t>Firebase Google Auth, API verification, ltlco.com and vornan.co allowlist.</w:t>
            </w:r>
          </w:p>
        </w:tc>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7"/>
              </w:rPr>
              <w:t>Reuse for grant/audit/operator routes; customers remain token/session based.</w:t>
            </w:r>
          </w:p>
        </w:tc>
      </w:tr>
      <w:tr>
        <w:tc>
          <w:tcPr>
            <w:tcW w:type="dxa" w:w="1500"/>
            <w:tcMar>
              <w:top w:w="80" w:type="dxa"/>
              <w:bottom w:w="80" w:type="dxa"/>
              <w:start w:w="120" w:type="dxa"/>
              <w:end w:w="120" w:type="dxa"/>
            </w:tcMar>
            <w:vAlign w:val="center"/>
          </w:tcPr>
          <w:p>
            <w:pPr>
              <w:spacing w:before="0" w:after="0" w:line="259" w:lineRule="auto"/>
            </w:pPr>
            <w:r>
              <w:rPr>
                <w:rFonts w:ascii="Arial" w:hAnsi="Arial"/>
                <w:color w:val="191818"/>
                <w:sz w:val="17"/>
              </w:rPr>
              <w:t>Public access</w:t>
            </w:r>
          </w:p>
        </w:tc>
        <w:tc>
          <w:tcPr>
            <w:tcW w:type="dxa" w:w="3960"/>
            <w:tcMar>
              <w:top w:w="80" w:type="dxa"/>
              <w:bottom w:w="80" w:type="dxa"/>
              <w:start w:w="120" w:type="dxa"/>
              <w:end w:w="120" w:type="dxa"/>
            </w:tcMar>
            <w:vAlign w:val="center"/>
          </w:tcPr>
          <w:p>
            <w:pPr>
              <w:spacing w:before="0" w:after="0" w:line="259" w:lineRule="auto"/>
            </w:pPr>
            <w:r>
              <w:rPr>
                <w:rFonts w:ascii="Arial" w:hAnsi="Arial"/>
                <w:color w:val="191818"/>
                <w:sz w:val="17"/>
              </w:rPr>
              <w:t>Status uses order+email request, neutral 202, raw path token, hashed token record, TTL.</w:t>
            </w:r>
          </w:p>
        </w:tc>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7"/>
              </w:rPr>
              <w:t>Reuse issuance, email, masking and neutral-response ideas; replace repeated raw-token reads with one-time exchange.</w:t>
            </w:r>
          </w:p>
        </w:tc>
      </w:tr>
      <w:tr>
        <w:tc>
          <w:tcPr>
            <w:tcW w:type="dxa" w:w="1500"/>
            <w:tcMar>
              <w:top w:w="80" w:type="dxa"/>
              <w:bottom w:w="80" w:type="dxa"/>
              <w:start w:w="120" w:type="dxa"/>
              <w:end w:w="120" w:type="dxa"/>
            </w:tcMar>
            <w:vAlign w:val="center"/>
          </w:tcPr>
          <w:p>
            <w:pPr>
              <w:spacing w:before="0" w:after="0" w:line="259" w:lineRule="auto"/>
            </w:pPr>
            <w:r>
              <w:rPr>
                <w:rFonts w:ascii="Arial" w:hAnsi="Arial"/>
                <w:color w:val="191818"/>
                <w:sz w:val="17"/>
              </w:rPr>
              <w:t>Persistence</w:t>
            </w:r>
          </w:p>
        </w:tc>
        <w:tc>
          <w:tcPr>
            <w:tcW w:type="dxa" w:w="3960"/>
            <w:tcMar>
              <w:top w:w="80" w:type="dxa"/>
              <w:bottom w:w="80" w:type="dxa"/>
              <w:start w:w="120" w:type="dxa"/>
              <w:end w:w="120" w:type="dxa"/>
            </w:tcMar>
            <w:vAlign w:val="center"/>
          </w:tcPr>
          <w:p>
            <w:pPr>
              <w:spacing w:before="0" w:after="0" w:line="259" w:lineRule="auto"/>
            </w:pPr>
            <w:r>
              <w:rPr>
                <w:rFonts w:ascii="Arial" w:hAnsi="Arial"/>
                <w:color w:val="191818"/>
                <w:sz w:val="17"/>
              </w:rPr>
              <w:t>DynamoDB production driver with purpose-specific tables; some domains use scans/full replacement, Status uses targeted get/put helpers.</w:t>
            </w:r>
          </w:p>
        </w:tc>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7"/>
              </w:rPr>
              <w:t>Create dedicated Proof tables and conditional update methods; never route concurrent proof writes through full-store replacement.</w:t>
            </w:r>
          </w:p>
        </w:tc>
      </w:tr>
      <w:tr>
        <w:tc>
          <w:tcPr>
            <w:tcW w:type="dxa" w:w="1500"/>
            <w:tcMar>
              <w:top w:w="80" w:type="dxa"/>
              <w:bottom w:w="80" w:type="dxa"/>
              <w:start w:w="120" w:type="dxa"/>
              <w:end w:w="120" w:type="dxa"/>
            </w:tcMar>
            <w:vAlign w:val="center"/>
          </w:tcPr>
          <w:p>
            <w:pPr>
              <w:spacing w:before="0" w:after="0" w:line="259" w:lineRule="auto"/>
            </w:pPr>
            <w:r>
              <w:rPr>
                <w:rFonts w:ascii="Arial" w:hAnsi="Arial"/>
                <w:color w:val="191818"/>
                <w:sz w:val="17"/>
              </w:rPr>
              <w:t>Lift reads</w:t>
            </w:r>
          </w:p>
        </w:tc>
        <w:tc>
          <w:tcPr>
            <w:tcW w:type="dxa" w:w="3960"/>
            <w:tcMar>
              <w:top w:w="80" w:type="dxa"/>
              <w:bottom w:w="80" w:type="dxa"/>
              <w:start w:w="120" w:type="dxa"/>
              <w:end w:w="120" w:type="dxa"/>
            </w:tcMar>
            <w:vAlign w:val="center"/>
          </w:tcPr>
          <w:p>
            <w:pPr>
              <w:spacing w:before="0" w:after="0" w:line="259" w:lineRule="auto"/>
            </w:pPr>
            <w:r>
              <w:rPr>
                <w:rFonts w:ascii="Arial" w:hAnsi="Arial"/>
                <w:color w:val="191818"/>
                <w:sz w:val="17"/>
              </w:rPr>
              <w:t>AS360Orders and AS360ProofReport route URLs are seeded; proof report normalization exists.</w:t>
            </w:r>
          </w:p>
        </w:tc>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7"/>
              </w:rPr>
              <w:t>Extract and harden into a server-only LiftProofAdapter; line-scope reads and join by ORDER_LINE_ID first.</w:t>
            </w:r>
          </w:p>
        </w:tc>
      </w:tr>
      <w:tr>
        <w:tc>
          <w:tcPr>
            <w:tcW w:type="dxa" w:w="1500"/>
            <w:tcMar>
              <w:top w:w="80" w:type="dxa"/>
              <w:bottom w:w="80" w:type="dxa"/>
              <w:start w:w="120" w:type="dxa"/>
              <w:end w:w="120" w:type="dxa"/>
            </w:tcMar>
            <w:vAlign w:val="center"/>
          </w:tcPr>
          <w:p>
            <w:pPr>
              <w:spacing w:before="0" w:after="0" w:line="259" w:lineRule="auto"/>
            </w:pPr>
            <w:r>
              <w:rPr>
                <w:rFonts w:ascii="Arial" w:hAnsi="Arial"/>
                <w:color w:val="191818"/>
                <w:sz w:val="17"/>
              </w:rPr>
              <w:t>Lift writes</w:t>
            </w:r>
          </w:p>
        </w:tc>
        <w:tc>
          <w:tcPr>
            <w:tcW w:type="dxa" w:w="3960"/>
            <w:tcMar>
              <w:top w:w="80" w:type="dxa"/>
              <w:bottom w:w="80" w:type="dxa"/>
              <w:start w:w="120" w:type="dxa"/>
              <w:end w:w="120" w:type="dxa"/>
            </w:tcMar>
            <w:vAlign w:val="center"/>
          </w:tcPr>
          <w:p>
            <w:pPr>
              <w:spacing w:before="0" w:after="0" w:line="259" w:lineRule="auto"/>
            </w:pPr>
            <w:r>
              <w:rPr>
                <w:rFonts w:ascii="Arial" w:hAnsi="Arial"/>
                <w:color w:val="191818"/>
                <w:sz w:val="17"/>
              </w:rPr>
              <w:t>No proof decision JWT/PUT adapter is present; real order submit remains gated.</w:t>
            </w:r>
          </w:p>
        </w:tc>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7"/>
              </w:rPr>
              <w:t>New credentials, JWT signing, decision endpoint, idempotency, and reconciliation are required.</w:t>
            </w:r>
          </w:p>
        </w:tc>
      </w:tr>
      <w:tr>
        <w:tc>
          <w:tcPr>
            <w:tcW w:type="dxa" w:w="1500"/>
            <w:tcMar>
              <w:top w:w="80" w:type="dxa"/>
              <w:bottom w:w="80" w:type="dxa"/>
              <w:start w:w="120" w:type="dxa"/>
              <w:end w:w="120" w:type="dxa"/>
            </w:tcMar>
            <w:vAlign w:val="center"/>
          </w:tcPr>
          <w:p>
            <w:pPr>
              <w:spacing w:before="0" w:after="0" w:line="259" w:lineRule="auto"/>
            </w:pPr>
            <w:r>
              <w:rPr>
                <w:rFonts w:ascii="Arial" w:hAnsi="Arial"/>
                <w:color w:val="191818"/>
                <w:sz w:val="17"/>
              </w:rPr>
              <w:t>Static hosting</w:t>
            </w:r>
          </w:p>
        </w:tc>
        <w:tc>
          <w:tcPr>
            <w:tcW w:type="dxa" w:w="3960"/>
            <w:tcMar>
              <w:top w:w="80" w:type="dxa"/>
              <w:bottom w:w="80" w:type="dxa"/>
              <w:start w:w="120" w:type="dxa"/>
              <w:end w:w="120" w:type="dxa"/>
            </w:tcMar>
            <w:vAlign w:val="center"/>
          </w:tcPr>
          <w:p>
            <w:pPr>
              <w:spacing w:before="0" w:after="0" w:line="259" w:lineRule="auto"/>
            </w:pPr>
            <w:r>
              <w:rPr>
                <w:rFonts w:ascii="Arial" w:hAnsi="Arial"/>
                <w:color w:val="191818"/>
                <w:sz w:val="17"/>
              </w:rPr>
              <w:t>Private S3 + CloudFront OAC, HTTPS, SPA fallback; distinct admin and Status distributions.</w:t>
            </w:r>
          </w:p>
        </w:tc>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7"/>
              </w:rPr>
              <w:t>Provision a third distribution/bucket for proof.vornan.co with a custom response-headers policy and WAF.</w:t>
            </w:r>
          </w:p>
        </w:tc>
      </w:tr>
      <w:tr>
        <w:tc>
          <w:tcPr>
            <w:tcW w:type="dxa" w:w="1500"/>
            <w:tcMar>
              <w:top w:w="80" w:type="dxa"/>
              <w:bottom w:w="80" w:type="dxa"/>
              <w:start w:w="120" w:type="dxa"/>
              <w:end w:w="120" w:type="dxa"/>
            </w:tcMar>
            <w:vAlign w:val="center"/>
          </w:tcPr>
          <w:p>
            <w:pPr>
              <w:spacing w:before="0" w:after="0" w:line="259" w:lineRule="auto"/>
            </w:pPr>
            <w:r>
              <w:rPr>
                <w:rFonts w:ascii="Arial" w:hAnsi="Arial"/>
                <w:color w:val="191818"/>
                <w:sz w:val="17"/>
              </w:rPr>
              <w:t>Email</w:t>
            </w:r>
          </w:p>
        </w:tc>
        <w:tc>
          <w:tcPr>
            <w:tcW w:type="dxa" w:w="3960"/>
            <w:tcMar>
              <w:top w:w="80" w:type="dxa"/>
              <w:bottom w:w="80" w:type="dxa"/>
              <w:start w:w="120" w:type="dxa"/>
              <w:end w:w="120" w:type="dxa"/>
            </w:tcMar>
            <w:vAlign w:val="center"/>
          </w:tcPr>
          <w:p>
            <w:pPr>
              <w:spacing w:before="0" w:after="0" w:line="259" w:lineRule="auto"/>
            </w:pPr>
            <w:r>
              <w:rPr>
                <w:rFonts w:ascii="Arial" w:hAnsi="Arial"/>
                <w:color w:val="191818"/>
                <w:sz w:val="17"/>
              </w:rPr>
              <w:t>Reusable SES/log transport; Vornan Updates sender; Status delivery metadata; no click tracking intended.</w:t>
            </w:r>
          </w:p>
        </w:tc>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7"/>
              </w:rPr>
              <w:t>Add proof_link category and proof-specific template; keep raw proof links out of production logs.</w:t>
            </w:r>
          </w:p>
        </w:tc>
      </w:tr>
      <w:tr>
        <w:tc>
          <w:tcPr>
            <w:tcW w:type="dxa" w:w="1500"/>
            <w:tcMar>
              <w:top w:w="80" w:type="dxa"/>
              <w:bottom w:w="80" w:type="dxa"/>
              <w:start w:w="120" w:type="dxa"/>
              <w:end w:w="120" w:type="dxa"/>
            </w:tcMar>
            <w:vAlign w:val="center"/>
          </w:tcPr>
          <w:p>
            <w:pPr>
              <w:spacing w:before="0" w:after="0" w:line="259" w:lineRule="auto"/>
            </w:pPr>
            <w:r>
              <w:rPr>
                <w:rFonts w:ascii="Arial" w:hAnsi="Arial"/>
                <w:color w:val="191818"/>
                <w:sz w:val="17"/>
              </w:rPr>
              <w:t>Brand</w:t>
            </w:r>
          </w:p>
        </w:tc>
        <w:tc>
          <w:tcPr>
            <w:tcW w:type="dxa" w:w="3960"/>
            <w:tcMar>
              <w:top w:w="80" w:type="dxa"/>
              <w:bottom w:w="80" w:type="dxa"/>
              <w:start w:w="120" w:type="dxa"/>
              <w:end w:w="120" w:type="dxa"/>
            </w:tcMar>
            <w:vAlign w:val="center"/>
          </w:tcPr>
          <w:p>
            <w:pPr>
              <w:spacing w:before="0" w:after="0" w:line="259" w:lineRule="auto"/>
            </w:pPr>
            <w:r>
              <w:rPr>
                <w:rFonts w:ascii="Arial" w:hAnsi="Arial"/>
                <w:color w:val="191818"/>
                <w:sz w:val="17"/>
              </w:rPr>
              <w:t>Shared theme constants and admin font assets; Status duplicates much of the styling and currently defaults to Inter.</w:t>
            </w:r>
          </w:p>
        </w:tc>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7"/>
              </w:rPr>
              <w:t>Publish reusable tokens/fonts through packages/ui and use a Vornan Proof lockup; avoid new duplicated color literals.</w:t>
            </w:r>
          </w:p>
        </w:tc>
      </w:tr>
    </w:tbl>
    <w:p>
      <w:pPr>
        <w:spacing w:after="60"/>
      </w:pPr>
    </w:p>
    <w:p>
      <w:pPr>
        <w:spacing w:before="80" w:after="200" w:line="264" w:lineRule="auto"/>
        <w:ind w:left="115" w:right="115"/>
        <w:shd w:fill="FFF8EB"/>
        <w:pBdr>
          <w:left w:val="single" w:sz="18" w:space="8" w:color="A87921"/>
        </w:pBdr>
      </w:pPr>
      <w:r>
        <w:rPr>
          <w:rFonts w:ascii="Arial" w:hAnsi="Arial"/>
          <w:b/>
          <w:color w:val="A87921"/>
          <w:sz w:val="19"/>
        </w:rPr>
        <w:t xml:space="preserve">IMPORTANT GAP  </w:t>
      </w:r>
      <w:r>
        <w:rPr>
          <w:rFonts w:ascii="Arial" w:hAnsi="Arial"/>
          <w:color w:val="191818"/>
          <w:sz w:val="21"/>
        </w:rPr>
        <w:t>Status’s current snapshot is generated from a Pathfinder job and joins proof rows to payload lines by LINE_NUMBER before a weak fallback. Vornan Proof must work from a Lift order number even when no Pathfinder job exists, fetch AS360Orders first, and join report rows by ORDER_LINE_ID before any compatibility fallback.</w:t>
      </w:r>
    </w:p>
    <w:p>
      <w:pPr>
        <w:pStyle w:val="Heading1"/>
        <w:keepNext/>
      </w:pPr>
      <w:r>
        <w:rPr>
          <w:rFonts w:ascii="Arial" w:hAnsi="Arial"/>
          <w:b/>
          <w:color w:val="39523B"/>
          <w:sz w:val="32"/>
        </w:rPr>
        <w:t>3. Product boundary</w:t>
      </w:r>
    </w:p>
    <w:p>
      <w:pPr>
        <w:pStyle w:val="Heading2"/>
        <w:keepNext/>
      </w:pPr>
      <w:r>
        <w:rPr>
          <w:rFonts w:ascii="Arial" w:hAnsi="Arial"/>
          <w:b/>
          <w:color w:val="39523B"/>
          <w:sz w:val="26"/>
        </w:rPr>
        <w:t>3.1 Product statement</w:t>
      </w:r>
    </w:p>
    <w:p>
      <w:pPr>
        <w:spacing w:before="0" w:after="120" w:line="264" w:lineRule="auto"/>
      </w:pPr>
      <w:r>
        <w:rPr>
          <w:rFonts w:ascii="Arial" w:hAnsi="Arial"/>
          <w:b w:val="0"/>
          <w:i w:val="0"/>
          <w:color w:val="191818"/>
          <w:sz w:val="22"/>
        </w:rPr>
        <w:t>Vornan Proof is the customer decision surface for Lift print proofs. It translates Lift’s order-line and proof-report structures into a calm queue of proof tasks and translates customer decisions back into Lift without requiring a Pathfinder account or exposing Lift/Adspace internals.</w:t>
      </w:r>
    </w:p>
    <w:p>
      <w:pPr>
        <w:pStyle w:val="Heading2"/>
        <w:keepNext/>
      </w:pPr>
      <w:r>
        <w:rPr>
          <w:rFonts w:ascii="Arial" w:hAnsi="Arial"/>
          <w:b/>
          <w:color w:val="39523B"/>
          <w:sz w:val="26"/>
        </w:rPr>
        <w:t>3.2 Included in the first complete release</w:t>
      </w:r>
    </w:p>
    <w:p>
      <w:pPr>
        <w:pStyle w:val="VornanBullet"/>
        <w:spacing w:after="160" w:line="280" w:lineRule="auto"/>
        <w:ind w:left="720" w:hanging="360"/>
      </w:pPr>
      <w:r>
        <w:rPr>
          <w:rFonts w:ascii="Arial" w:hAnsi="Arial"/>
          <w:color w:val="191818"/>
          <w:sz w:val="21"/>
        </w:rPr>
        <w:t>Direct Lift order lookup by A-prefixed order number.</w:t>
      </w:r>
    </w:p>
    <w:p>
      <w:pPr>
        <w:pStyle w:val="VornanBullet"/>
        <w:spacing w:after="160" w:line="280" w:lineRule="auto"/>
        <w:ind w:left="720" w:hanging="360"/>
      </w:pPr>
      <w:r>
        <w:rPr>
          <w:rFonts w:ascii="Arial" w:hAnsi="Arial"/>
          <w:color w:val="191818"/>
          <w:sz w:val="21"/>
        </w:rPr>
        <w:t>One active task per Lift proof attachment, with sibling labels when attachments share one order line.</w:t>
      </w:r>
    </w:p>
    <w:p>
      <w:pPr>
        <w:pStyle w:val="VornanBullet"/>
        <w:spacing w:after="160" w:line="280" w:lineRule="auto"/>
        <w:ind w:left="720" w:hanging="360"/>
      </w:pPr>
      <w:r>
        <w:rPr>
          <w:rFonts w:ascii="Arial" w:hAnsi="Arial"/>
          <w:color w:val="191818"/>
          <w:sz w:val="21"/>
        </w:rPr>
        <w:t>Waiting, pending, approved, revised/regenerating, production-reference, complete-reference, cancelled, missing, stale, and error behavior.</w:t>
      </w:r>
    </w:p>
    <w:p>
      <w:pPr>
        <w:pStyle w:val="VornanBullet"/>
        <w:spacing w:after="160" w:line="280" w:lineRule="auto"/>
        <w:ind w:left="720" w:hanging="360"/>
      </w:pPr>
      <w:r>
        <w:rPr>
          <w:rFonts w:ascii="Arial" w:hAnsi="Arial"/>
          <w:color w:val="191818"/>
          <w:sz w:val="21"/>
        </w:rPr>
        <w:t>Proof preview, optional customer/original art, current feedback and attachments, file history, approval metadata, and technical reports.</w:t>
      </w:r>
    </w:p>
    <w:p>
      <w:pPr>
        <w:pStyle w:val="VornanBullet"/>
        <w:spacing w:after="160" w:line="280" w:lineRule="auto"/>
        <w:ind w:left="720" w:hanging="360"/>
      </w:pPr>
      <w:r>
        <w:rPr>
          <w:rFonts w:ascii="Arial" w:hAnsi="Arial"/>
          <w:color w:val="191818"/>
          <w:sz w:val="21"/>
        </w:rPr>
        <w:t>Feedback opened + acknowledged before a write when current feedback exists.</w:t>
      </w:r>
    </w:p>
    <w:p>
      <w:pPr>
        <w:pStyle w:val="VornanBullet"/>
        <w:spacing w:after="160" w:line="280" w:lineRule="auto"/>
        <w:ind w:left="720" w:hanging="360"/>
      </w:pPr>
      <w:r>
        <w:rPr>
          <w:rFonts w:ascii="Arial" w:hAnsi="Arial"/>
          <w:color w:val="191818"/>
          <w:sz w:val="21"/>
        </w:rPr>
        <w:t>Approve for Print and revised-art submission to Lift.</w:t>
      </w:r>
    </w:p>
    <w:p>
      <w:pPr>
        <w:pStyle w:val="VornanBullet"/>
        <w:spacing w:after="160" w:line="280" w:lineRule="auto"/>
        <w:ind w:left="720" w:hanging="360"/>
      </w:pPr>
      <w:r>
        <w:rPr>
          <w:rFonts w:ascii="Arial" w:hAnsi="Arial"/>
          <w:color w:val="191818"/>
          <w:sz w:val="21"/>
        </w:rPr>
        <w:t>Scoped grants, expiration, revocation, regeneration, participant identity, sessions, audit, and rate controls.</w:t>
      </w:r>
    </w:p>
    <w:p>
      <w:pPr>
        <w:pStyle w:val="VornanBullet"/>
        <w:spacing w:after="160" w:line="280" w:lineRule="auto"/>
        <w:ind w:left="720" w:hanging="360"/>
      </w:pPr>
      <w:r>
        <w:rPr>
          <w:rFonts w:ascii="Arial" w:hAnsi="Arial"/>
          <w:color w:val="191818"/>
          <w:sz w:val="21"/>
        </w:rPr>
        <w:t>Responsive desktop/tablet/mobile behavior and WCAG 2.2 AA acceptance.</w:t>
      </w:r>
    </w:p>
    <w:p>
      <w:pPr>
        <w:pStyle w:val="VornanBullet"/>
        <w:spacing w:after="160" w:line="280" w:lineRule="auto"/>
        <w:ind w:left="720" w:hanging="360"/>
      </w:pPr>
      <w:r>
        <w:rPr>
          <w:rFonts w:ascii="Arial" w:hAnsi="Arial"/>
          <w:color w:val="191818"/>
          <w:sz w:val="21"/>
        </w:rPr>
        <w:t>Operator grant management and integration-health visibility inside Pathfinder.</w:t>
      </w:r>
    </w:p>
    <w:p>
      <w:pPr>
        <w:pStyle w:val="Heading2"/>
        <w:keepNext/>
      </w:pPr>
      <w:r>
        <w:rPr>
          <w:rFonts w:ascii="Arial" w:hAnsi="Arial"/>
          <w:b/>
          <w:color w:val="39523B"/>
          <w:sz w:val="26"/>
        </w:rPr>
        <w:t>3.3 Explicitly excluded from v1</w:t>
      </w:r>
    </w:p>
    <w:p>
      <w:pPr>
        <w:pStyle w:val="VornanBullet"/>
        <w:spacing w:after="160" w:line="280" w:lineRule="auto"/>
        <w:ind w:left="720" w:hanging="360"/>
      </w:pPr>
      <w:r>
        <w:rPr>
          <w:rFonts w:ascii="Arial" w:hAnsi="Arial"/>
          <w:color w:val="191818"/>
          <w:sz w:val="21"/>
        </w:rPr>
        <w:t>Adspace project, venue, room, inventory, allocation, assignment, transit, production-release, campaign, and tenant concepts.</w:t>
      </w:r>
    </w:p>
    <w:p>
      <w:pPr>
        <w:pStyle w:val="VornanBullet"/>
        <w:spacing w:after="160" w:line="280" w:lineRule="auto"/>
        <w:ind w:left="720" w:hanging="360"/>
      </w:pPr>
      <w:r>
        <w:rPr>
          <w:rFonts w:ascii="Arial" w:hAnsi="Arial"/>
          <w:color w:val="191818"/>
          <w:sz w:val="21"/>
        </w:rPr>
        <w:t>Lift order creation and Pathfinder product mapping; Proof consumes an existing Lift order.</w:t>
      </w:r>
    </w:p>
    <w:p>
      <w:pPr>
        <w:pStyle w:val="VornanBullet"/>
        <w:spacing w:after="160" w:line="280" w:lineRule="auto"/>
        <w:ind w:left="720" w:hanging="360"/>
      </w:pPr>
      <w:r>
        <w:rPr>
          <w:rFonts w:ascii="Arial" w:hAnsi="Arial"/>
          <w:color w:val="191818"/>
          <w:sz w:val="21"/>
        </w:rPr>
        <w:t>Shipping mutation or production scheduling. Status may remain the read-only shipping destination.</w:t>
      </w:r>
    </w:p>
    <w:p>
      <w:pPr>
        <w:pStyle w:val="VornanBullet"/>
        <w:spacing w:after="160" w:line="280" w:lineRule="auto"/>
        <w:ind w:left="720" w:hanging="360"/>
      </w:pPr>
      <w:r>
        <w:rPr>
          <w:rFonts w:ascii="Arial" w:hAnsi="Arial"/>
          <w:color w:val="191818"/>
          <w:sz w:val="21"/>
        </w:rPr>
        <w:t>External-vendor/manual proof routes until a non-Lift adapter is deliberately designed.</w:t>
      </w:r>
    </w:p>
    <w:p>
      <w:pPr>
        <w:pStyle w:val="VornanBullet"/>
        <w:spacing w:after="160" w:line="280" w:lineRule="auto"/>
        <w:ind w:left="720" w:hanging="360"/>
      </w:pPr>
      <w:r>
        <w:rPr>
          <w:rFonts w:ascii="Arial" w:hAnsi="Arial"/>
          <w:color w:val="191818"/>
          <w:sz w:val="21"/>
        </w:rPr>
        <w:t>Customer accounts, passwords, or full portal registration.</w:t>
      </w:r>
    </w:p>
    <w:p>
      <w:pPr>
        <w:pStyle w:val="VornanBullet"/>
        <w:spacing w:after="160" w:line="280" w:lineRule="auto"/>
        <w:ind w:left="720" w:hanging="360"/>
      </w:pPr>
      <w:r>
        <w:rPr>
          <w:rFonts w:ascii="Arial" w:hAnsi="Arial"/>
          <w:color w:val="191818"/>
          <w:sz w:val="21"/>
        </w:rPr>
        <w:t>Proof image annotation/drawing tools unless separately scoped after pilot feedback.</w:t>
      </w:r>
    </w:p>
    <w:p>
      <w:pPr>
        <w:pStyle w:val="Heading1"/>
        <w:keepNext/>
      </w:pPr>
      <w:r>
        <w:rPr>
          <w:rFonts w:ascii="Arial" w:hAnsi="Arial"/>
          <w:b/>
          <w:color w:val="39523B"/>
          <w:sz w:val="32"/>
        </w:rPr>
        <w:t>4. Recommended architecture</w:t>
      </w:r>
    </w:p>
    <w:p>
      <w:pPr>
        <w:spacing w:before="0" w:after="120" w:line="264" w:lineRule="auto"/>
      </w:pPr>
      <w:r>
        <w:rPr>
          <w:rFonts w:ascii="Arial" w:hAnsi="Arial"/>
          <w:b w:val="0"/>
          <w:i w:val="0"/>
          <w:color w:val="191818"/>
          <w:sz w:val="22"/>
        </w:rPr>
        <w:t>The recommended topology treats Pathfinder as the internal control plane and Proof as an isolated customer-facing data plane. The split protects the authenticated admin API from unauthenticated traffic and allows upload, sync, and Lift-decision workloads to scale and fail independently.</w:t>
      </w:r>
    </w:p>
    <w:p>
      <w:r>
        <w:drawing>
          <wp:inline xmlns:a="http://schemas.openxmlformats.org/drawingml/2006/main" xmlns:pic="http://schemas.openxmlformats.org/drawingml/2006/picture">
            <wp:extent cx="5925312" cy="3423514"/>
            <wp:docPr id="2" name="Picture 2" title="Recommended Vornan Proof topology" descr="Architecture diagram showing customers entering through the Proof edge and public API; Pathfinder Admin and Status integrate through Pathfinder services; Proof Core, the asset pipeline, and the sync worker connect the Vornan ecosystem to Lift ERP."/>
            <wp:cNvGraphicFramePr>
              <a:graphicFrameLocks noChangeAspect="1"/>
            </wp:cNvGraphicFramePr>
            <a:graphic>
              <a:graphicData uri="http://schemas.openxmlformats.org/drawingml/2006/picture">
                <pic:pic>
                  <pic:nvPicPr>
                    <pic:cNvPr id="0" name="vornan-proof-architecture.png"/>
                    <pic:cNvPicPr/>
                  </pic:nvPicPr>
                  <pic:blipFill>
                    <a:blip r:embed="rId12"/>
                    <a:stretch>
                      <a:fillRect/>
                    </a:stretch>
                  </pic:blipFill>
                  <pic:spPr>
                    <a:xfrm>
                      <a:off x="0" y="0"/>
                      <a:ext cx="5925312" cy="3423514"/>
                    </a:xfrm>
                    <a:prstGeom prst="rect"/>
                  </pic:spPr>
                </pic:pic>
              </a:graphicData>
            </a:graphic>
          </wp:inline>
        </w:drawing>
      </w:r>
    </w:p>
    <w:p>
      <w:pPr>
        <w:spacing w:before="0" w:after="200" w:line="264" w:lineRule="auto"/>
        <w:jc w:val="center"/>
      </w:pPr>
      <w:r>
        <w:rPr>
          <w:rFonts w:ascii="Arial" w:hAnsi="Arial"/>
          <w:b w:val="0"/>
          <w:i/>
          <w:color w:val="768070"/>
          <w:sz w:val="18"/>
        </w:rPr>
        <w:t>Figure 1. Recommended Vornan Proof topology.</w:t>
      </w:r>
    </w:p>
    <w:p>
      <w:pPr>
        <w:pStyle w:val="Heading2"/>
        <w:keepNext/>
      </w:pPr>
      <w:r>
        <w:rPr>
          <w:rFonts w:ascii="Arial" w:hAnsi="Arial"/>
          <w:b/>
          <w:color w:val="39523B"/>
          <w:sz w:val="26"/>
        </w:rPr>
        <w:t>4.1 Component responsibilities</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1900"/>
        <w:gridCol w:w="4860"/>
        <w:gridCol w:w="2600"/>
      </w:tblGrid>
      <w:tr>
        <w:trPr>
          <w:tblHeader w:val="true"/>
        </w:trPr>
        <w:tc>
          <w:tcPr>
            <w:tcW w:type="dxa" w:w="190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Component</w:t>
            </w:r>
          </w:p>
        </w:tc>
        <w:tc>
          <w:tcPr>
            <w:tcW w:type="dxa" w:w="486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Responsibility</w:t>
            </w:r>
          </w:p>
        </w:tc>
        <w:tc>
          <w:tcPr>
            <w:tcW w:type="dxa" w:w="260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Reuse / new</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6"/>
              </w:rPr>
              <w:t>apps/proof</w:t>
            </w:r>
          </w:p>
        </w:tc>
        <w:tc>
          <w:tcPr>
            <w:tcW w:type="dxa" w:w="4860"/>
            <w:tcMar>
              <w:top w:w="80" w:type="dxa"/>
              <w:bottom w:w="80" w:type="dxa"/>
              <w:start w:w="120" w:type="dxa"/>
              <w:end w:w="120" w:type="dxa"/>
            </w:tcMar>
            <w:vAlign w:val="center"/>
          </w:tcPr>
          <w:p>
            <w:pPr>
              <w:spacing w:before="0" w:after="0" w:line="259" w:lineRule="auto"/>
            </w:pPr>
            <w:r>
              <w:rPr>
                <w:rFonts w:ascii="Arial" w:hAnsi="Arial"/>
                <w:color w:val="191818"/>
                <w:sz w:val="16"/>
              </w:rPr>
              <w:t>Customer SPA, fragment exchange, queue/detail workspace, feedback/history, revision UX, accessible responsive states.</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New; reuse Vornan theme, assets, React/Vite conventions.</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6"/>
              </w:rPr>
              <w:t>Proof Public API</w:t>
            </w:r>
          </w:p>
        </w:tc>
        <w:tc>
          <w:tcPr>
            <w:tcW w:type="dxa" w:w="4860"/>
            <w:tcMar>
              <w:top w:w="80" w:type="dxa"/>
              <w:bottom w:w="80" w:type="dxa"/>
              <w:start w:w="120" w:type="dxa"/>
              <w:end w:w="120" w:type="dxa"/>
            </w:tcMar>
            <w:vAlign w:val="center"/>
          </w:tcPr>
          <w:p>
            <w:pPr>
              <w:spacing w:before="0" w:after="0" w:line="259" w:lineRule="auto"/>
            </w:pPr>
            <w:r>
              <w:rPr>
                <w:rFonts w:ascii="Arial" w:hAnsi="Arial"/>
                <w:color w:val="191818"/>
                <w:sz w:val="16"/>
              </w:rPr>
              <w:t>Session exchange, normalized reads, refresh request, participant identity, decisions, upload initialization/finalization.</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New Lambda boundary behind proof.vornan.co/api.</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6"/>
              </w:rPr>
              <w:t>Pathfinder Proof Admin routes</w:t>
            </w:r>
          </w:p>
        </w:tc>
        <w:tc>
          <w:tcPr>
            <w:tcW w:type="dxa" w:w="4860"/>
            <w:tcMar>
              <w:top w:w="80" w:type="dxa"/>
              <w:bottom w:w="80" w:type="dxa"/>
              <w:start w:w="120" w:type="dxa"/>
              <w:end w:w="120" w:type="dxa"/>
            </w:tcMar>
            <w:vAlign w:val="center"/>
          </w:tcPr>
          <w:p>
            <w:pPr>
              <w:spacing w:before="0" w:after="0" w:line="259" w:lineRule="auto"/>
            </w:pPr>
            <w:r>
              <w:rPr>
                <w:rFonts w:ascii="Arial" w:hAnsi="Arial"/>
                <w:color w:val="191818"/>
                <w:sz w:val="16"/>
              </w:rPr>
              <w:t>Create/list/revoke/regenerate grants, force sync, read audit and health.</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Add to existing Firebase-authenticated API or route to a dedicated admin handler.</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6"/>
              </w:rPr>
              <w:t>packages/proof-domain</w:t>
            </w:r>
          </w:p>
        </w:tc>
        <w:tc>
          <w:tcPr>
            <w:tcW w:type="dxa" w:w="4860"/>
            <w:tcMar>
              <w:top w:w="80" w:type="dxa"/>
              <w:bottom w:w="80" w:type="dxa"/>
              <w:start w:w="120" w:type="dxa"/>
              <w:end w:w="120" w:type="dxa"/>
            </w:tcMar>
            <w:vAlign w:val="center"/>
          </w:tcPr>
          <w:p>
            <w:pPr>
              <w:spacing w:before="0" w:after="0" w:line="259" w:lineRule="auto"/>
            </w:pPr>
            <w:r>
              <w:rPr>
                <w:rFonts w:ascii="Arial" w:hAnsi="Arial"/>
                <w:color w:val="191818"/>
                <w:sz w:val="16"/>
              </w:rPr>
              <w:t>Types, normalization, state rules, fingerprints, redaction, validators, event schemas.</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New shared package; no AWS or Express dependency.</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6"/>
              </w:rPr>
              <w:t>packages/lift-proof-adapter</w:t>
            </w:r>
          </w:p>
        </w:tc>
        <w:tc>
          <w:tcPr>
            <w:tcW w:type="dxa" w:w="4860"/>
            <w:tcMar>
              <w:top w:w="80" w:type="dxa"/>
              <w:bottom w:w="80" w:type="dxa"/>
              <w:start w:w="120" w:type="dxa"/>
              <w:end w:w="120" w:type="dxa"/>
            </w:tcMar>
            <w:vAlign w:val="center"/>
          </w:tcPr>
          <w:p>
            <w:pPr>
              <w:spacing w:before="0" w:after="0" w:line="259" w:lineRule="auto"/>
            </w:pPr>
            <w:r>
              <w:rPr>
                <w:rFonts w:ascii="Arial" w:hAnsi="Arial"/>
                <w:color w:val="191818"/>
                <w:sz w:val="16"/>
              </w:rPr>
              <w:t>AS360Orders, AS360ProofReport, decision JWT/PUT, error translation, timeouts, direct-asset validation.</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New extraction/extension of existing Lift URL helpers.</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6"/>
              </w:rPr>
              <w:t>Proof Sync Worker</w:t>
            </w:r>
          </w:p>
        </w:tc>
        <w:tc>
          <w:tcPr>
            <w:tcW w:type="dxa" w:w="4860"/>
            <w:tcMar>
              <w:top w:w="80" w:type="dxa"/>
              <w:bottom w:w="80" w:type="dxa"/>
              <w:start w:w="120" w:type="dxa"/>
              <w:end w:w="120" w:type="dxa"/>
            </w:tcMar>
            <w:vAlign w:val="center"/>
          </w:tcPr>
          <w:p>
            <w:pPr>
              <w:spacing w:before="0" w:after="0" w:line="259" w:lineRule="auto"/>
            </w:pPr>
            <w:r>
              <w:rPr>
                <w:rFonts w:ascii="Arial" w:hAnsi="Arial"/>
                <w:color w:val="191818"/>
                <w:sz w:val="16"/>
              </w:rPr>
              <w:t>Line-scoped reads, normalization, history merge, events, retry, reconciliation.</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New SQS-triggered Lambda using shared packages.</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6"/>
              </w:rPr>
              <w:t>Asset Publisher</w:t>
            </w:r>
          </w:p>
        </w:tc>
        <w:tc>
          <w:tcPr>
            <w:tcW w:type="dxa" w:w="4860"/>
            <w:tcMar>
              <w:top w:w="80" w:type="dxa"/>
              <w:bottom w:w="80" w:type="dxa"/>
              <w:start w:w="120" w:type="dxa"/>
              <w:end w:w="120" w:type="dxa"/>
            </w:tcMar>
            <w:vAlign w:val="center"/>
          </w:tcPr>
          <w:p>
            <w:pPr>
              <w:spacing w:before="0" w:after="0" w:line="259" w:lineRule="auto"/>
            </w:pPr>
            <w:r>
              <w:rPr>
                <w:rFonts w:ascii="Arial" w:hAnsi="Arial"/>
                <w:color w:val="191818"/>
                <w:sz w:val="16"/>
              </w:rPr>
              <w:t>Validate revisions, copy to lift-outbound, set MIME/disposition, sign direct CloudFront URL.</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New narrowly permissioned Lambda/service.</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6"/>
              </w:rPr>
              <w:t>Proof persistence</w:t>
            </w:r>
          </w:p>
        </w:tc>
        <w:tc>
          <w:tcPr>
            <w:tcW w:type="dxa" w:w="4860"/>
            <w:tcMar>
              <w:top w:w="80" w:type="dxa"/>
              <w:bottom w:w="80" w:type="dxa"/>
              <w:start w:w="120" w:type="dxa"/>
              <w:end w:w="120" w:type="dxa"/>
            </w:tcMar>
            <w:vAlign w:val="center"/>
          </w:tcPr>
          <w:p>
            <w:pPr>
              <w:spacing w:before="0" w:after="0" w:line="259" w:lineRule="auto"/>
            </w:pPr>
            <w:r>
              <w:rPr>
                <w:rFonts w:ascii="Arial" w:hAnsi="Arial"/>
                <w:color w:val="191818"/>
                <w:sz w:val="16"/>
              </w:rPr>
              <w:t>Orders, tasks, versions, grants, sessions, participants, revisions, idempotency, locks, audit.</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New dedicated DynamoDB core/audit tables.</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6"/>
              </w:rPr>
              <w:t>SES</w:t>
            </w:r>
          </w:p>
        </w:tc>
        <w:tc>
          <w:tcPr>
            <w:tcW w:type="dxa" w:w="4860"/>
            <w:tcMar>
              <w:top w:w="80" w:type="dxa"/>
              <w:bottom w:w="80" w:type="dxa"/>
              <w:start w:w="120" w:type="dxa"/>
              <w:end w:w="120" w:type="dxa"/>
            </w:tcMar>
            <w:vAlign w:val="center"/>
          </w:tcPr>
          <w:p>
            <w:pPr>
              <w:spacing w:before="0" w:after="0" w:line="259" w:lineRule="auto"/>
            </w:pPr>
            <w:r>
              <w:rPr>
                <w:rFonts w:ascii="Arial" w:hAnsi="Arial"/>
                <w:color w:val="191818"/>
                <w:sz w:val="16"/>
              </w:rPr>
              <w:t>Proof-ready and link emails; delivery metadata and operational events.</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Extend existing email transport and sender identity.</w:t>
            </w:r>
          </w:p>
        </w:tc>
      </w:tr>
    </w:tbl>
    <w:p>
      <w:pPr>
        <w:spacing w:after="60"/>
      </w:pPr>
    </w:p>
    <w:p>
      <w:pPr>
        <w:pStyle w:val="Heading2"/>
        <w:keepNext/>
      </w:pPr>
      <w:r>
        <w:rPr>
          <w:rFonts w:ascii="Arial" w:hAnsi="Arial"/>
          <w:b/>
          <w:color w:val="39523B"/>
          <w:sz w:val="26"/>
        </w:rPr>
        <w:t>4.2 Proposed repository layout</w:t>
      </w:r>
    </w:p>
    <w:p>
      <w:pPr>
        <w:spacing w:before="80" w:after="160" w:line="240" w:lineRule="auto"/>
        <w:ind w:left="259" w:right="259"/>
        <w:shd w:fill="F4F5F2"/>
      </w:pPr>
      <w:r>
        <w:rPr>
          <w:rFonts w:ascii="Menlo" w:hAnsi="Menlo"/>
          <w:color w:val="191818"/>
          <w:sz w:val="17"/>
        </w:rPr>
        <w:t>apps/</w:t>
        <w:br/>
      </w:r>
      <w:r>
        <w:rPr>
          <w:rFonts w:ascii="Menlo" w:hAnsi="Menlo"/>
          <w:color w:val="191818"/>
          <w:sz w:val="17"/>
        </w:rPr>
        <w:t xml:space="preserve">  proof/                      # React/Vite customer SPA</w:t>
        <w:br/>
      </w:r>
      <w:r>
        <w:rPr>
          <w:rFonts w:ascii="Menlo" w:hAnsi="Menlo"/>
          <w:color w:val="191818"/>
          <w:sz w:val="17"/>
        </w:rPr>
        <w:t xml:space="preserve">  api/src/proof/              # Firebase-authenticated internal routes</w:t>
        <w:br/>
      </w:r>
      <w:r>
        <w:rPr>
          <w:rFonts w:ascii="Menlo" w:hAnsi="Menlo"/>
          <w:color w:val="191818"/>
          <w:sz w:val="17"/>
        </w:rPr>
        <w:t>packages/</w:t>
        <w:br/>
      </w:r>
      <w:r>
        <w:rPr>
          <w:rFonts w:ascii="Menlo" w:hAnsi="Menlo"/>
          <w:color w:val="191818"/>
          <w:sz w:val="17"/>
        </w:rPr>
        <w:t xml:space="preserve">  proof-domain/               # normalized model, merge/state rules, API DTOs</w:t>
        <w:br/>
      </w:r>
      <w:r>
        <w:rPr>
          <w:rFonts w:ascii="Menlo" w:hAnsi="Menlo"/>
          <w:color w:val="191818"/>
          <w:sz w:val="17"/>
        </w:rPr>
        <w:t xml:space="preserve">  lift-proof-adapter/         # Lift reads, JWT/PUT, error translation</w:t>
        <w:br/>
      </w:r>
      <w:r>
        <w:rPr>
          <w:rFonts w:ascii="Menlo" w:hAnsi="Menlo"/>
          <w:color w:val="191818"/>
          <w:sz w:val="17"/>
        </w:rPr>
        <w:t xml:space="preserve">  ui/                         # Vornan tokens, fonts, shared primitives</w:t>
        <w:br/>
      </w:r>
      <w:r>
        <w:rPr>
          <w:rFonts w:ascii="Menlo" w:hAnsi="Menlo"/>
          <w:color w:val="191818"/>
          <w:sz w:val="17"/>
        </w:rPr>
        <w:t>infra/aws/</w:t>
        <w:br/>
      </w:r>
      <w:r>
        <w:rPr>
          <w:rFonts w:ascii="Menlo" w:hAnsi="Menlo"/>
          <w:color w:val="191818"/>
          <w:sz w:val="17"/>
        </w:rPr>
        <w:t xml:space="preserve">  proof-cloudformation.yaml   # edge, public API, DDB, S3, queues, WAF</w:t>
        <w:br/>
      </w:r>
      <w:r>
        <w:rPr>
          <w:rFonts w:ascii="Menlo" w:hAnsi="Menlo"/>
          <w:color w:val="191818"/>
          <w:sz w:val="17"/>
        </w:rPr>
        <w:t>scripts/</w:t>
        <w:br/>
      </w:r>
      <w:r>
        <w:rPr>
          <w:rFonts w:ascii="Menlo" w:hAnsi="Menlo"/>
          <w:color w:val="191818"/>
          <w:sz w:val="17"/>
        </w:rPr>
        <w:t xml:space="preserve">  build-proof-lambdas.mjs</w:t>
        <w:br/>
      </w:r>
      <w:r>
        <w:rPr>
          <w:rFonts w:ascii="Menlo" w:hAnsi="Menlo"/>
          <w:color w:val="191818"/>
          <w:sz w:val="17"/>
        </w:rPr>
        <w:t xml:space="preserve">  deploy-proof-web.sh</w:t>
        <w:br/>
      </w:r>
      <w:r>
        <w:rPr>
          <w:rFonts w:ascii="Menlo" w:hAnsi="Menlo"/>
          <w:color w:val="191818"/>
          <w:sz w:val="17"/>
        </w:rPr>
        <w:t xml:space="preserve">  deploy-proof-stack.sh</w:t>
        <w:br/>
      </w:r>
    </w:p>
    <w:p>
      <w:pPr>
        <w:spacing w:before="0" w:after="120" w:line="264" w:lineRule="auto"/>
      </w:pPr>
      <w:r>
        <w:rPr>
          <w:rFonts w:ascii="Arial" w:hAnsi="Arial"/>
          <w:b w:val="0"/>
          <w:i w:val="0"/>
          <w:color w:val="191818"/>
          <w:sz w:val="22"/>
        </w:rPr>
        <w:t>A separate apps/proof-api package is optional. The more important rule is the deployed boundary: unauthenticated Proof traffic and slow workers must not share the exact same Lambda concurrency, persistence mutations, or IAM permissions as the Pathfinder admin API.</w:t>
      </w:r>
    </w:p>
    <w:p>
      <w:pPr>
        <w:pStyle w:val="Heading2"/>
        <w:keepNext/>
      </w:pPr>
      <w:r>
        <w:rPr>
          <w:rFonts w:ascii="Arial" w:hAnsi="Arial"/>
          <w:b/>
          <w:color w:val="39523B"/>
          <w:sz w:val="26"/>
        </w:rPr>
        <w:t>4.3 Why not place Proof inside Status?</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1900"/>
        <w:gridCol w:w="3300"/>
        <w:gridCol w:w="4160"/>
      </w:tblGrid>
      <w:tr>
        <w:trPr>
          <w:tblHeader w:val="true"/>
        </w:trPr>
        <w:tc>
          <w:tcPr>
            <w:tcW w:type="dxa" w:w="19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Concern</w:t>
            </w:r>
          </w:p>
        </w:tc>
        <w:tc>
          <w:tcPr>
            <w:tcW w:type="dxa" w:w="33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Status today</w:t>
            </w:r>
          </w:p>
        </w:tc>
        <w:tc>
          <w:tcPr>
            <w:tcW w:type="dxa" w:w="41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Proof requirement</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8"/>
              </w:rPr>
              <w:t>Authorization</w:t>
            </w:r>
          </w:p>
        </w:tc>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8"/>
              </w:rPr>
              <w:t>Read-only bearer link.</w:t>
            </w:r>
          </w:p>
        </w:tc>
        <w:tc>
          <w:tcPr>
            <w:tcW w:type="dxa" w:w="4160"/>
            <w:tcMar>
              <w:top w:w="80" w:type="dxa"/>
              <w:bottom w:w="80" w:type="dxa"/>
              <w:start w:w="120" w:type="dxa"/>
              <w:end w:w="120" w:type="dxa"/>
            </w:tcMar>
            <w:vAlign w:val="center"/>
          </w:tcPr>
          <w:p>
            <w:pPr>
              <w:spacing w:before="0" w:after="0" w:line="259" w:lineRule="auto"/>
            </w:pPr>
            <w:r>
              <w:rPr>
                <w:rFonts w:ascii="Arial" w:hAnsi="Arial"/>
                <w:color w:val="191818"/>
                <w:sz w:val="18"/>
              </w:rPr>
              <w:t>Write-capable scoped session, participant and task gates.</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8"/>
              </w:rPr>
              <w:t>Identity source</w:t>
            </w:r>
          </w:p>
        </w:tc>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8"/>
              </w:rPr>
              <w:t>Pathfinder job + status snapshot.</w:t>
            </w:r>
          </w:p>
        </w:tc>
        <w:tc>
          <w:tcPr>
            <w:tcW w:type="dxa" w:w="4160"/>
            <w:tcMar>
              <w:top w:w="80" w:type="dxa"/>
              <w:bottom w:w="80" w:type="dxa"/>
              <w:start w:w="120" w:type="dxa"/>
              <w:end w:w="120" w:type="dxa"/>
            </w:tcMar>
            <w:vAlign w:val="center"/>
          </w:tcPr>
          <w:p>
            <w:pPr>
              <w:spacing w:before="0" w:after="0" w:line="259" w:lineRule="auto"/>
            </w:pPr>
            <w:r>
              <w:rPr>
                <w:rFonts w:ascii="Arial" w:hAnsi="Arial"/>
                <w:color w:val="191818"/>
                <w:sz w:val="18"/>
              </w:rPr>
              <w:t>Direct Lift order, regardless of Pathfinder job existence.</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8"/>
              </w:rPr>
              <w:t>Consistency</w:t>
            </w:r>
          </w:p>
        </w:tc>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8"/>
              </w:rPr>
              <w:t>Snapshot refresh and simple get/put.</w:t>
            </w:r>
          </w:p>
        </w:tc>
        <w:tc>
          <w:tcPr>
            <w:tcW w:type="dxa" w:w="4160"/>
            <w:tcMar>
              <w:top w:w="80" w:type="dxa"/>
              <w:bottom w:w="80" w:type="dxa"/>
              <w:start w:w="120" w:type="dxa"/>
              <w:end w:w="120" w:type="dxa"/>
            </w:tcMar>
            <w:vAlign w:val="center"/>
          </w:tcPr>
          <w:p>
            <w:pPr>
              <w:spacing w:before="0" w:after="0" w:line="259" w:lineRule="auto"/>
            </w:pPr>
            <w:r>
              <w:rPr>
                <w:rFonts w:ascii="Arial" w:hAnsi="Arial"/>
                <w:color w:val="191818"/>
                <w:sz w:val="18"/>
              </w:rPr>
              <w:t>Optimistic concurrency, idempotency, uncertain-write reconciliation.</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8"/>
              </w:rPr>
              <w:t>Assets</w:t>
            </w:r>
          </w:p>
        </w:tc>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8"/>
              </w:rPr>
              <w:t>External Lift links only.</w:t>
            </w:r>
          </w:p>
        </w:tc>
        <w:tc>
          <w:tcPr>
            <w:tcW w:type="dxa" w:w="4160"/>
            <w:tcMar>
              <w:top w:w="80" w:type="dxa"/>
              <w:bottom w:w="80" w:type="dxa"/>
              <w:start w:w="120" w:type="dxa"/>
              <w:end w:w="120" w:type="dxa"/>
            </w:tcMar>
            <w:vAlign w:val="center"/>
          </w:tcPr>
          <w:p>
            <w:pPr>
              <w:spacing w:before="0" w:after="0" w:line="259" w:lineRule="auto"/>
            </w:pPr>
            <w:r>
              <w:rPr>
                <w:rFonts w:ascii="Arial" w:hAnsi="Arial"/>
                <w:color w:val="191818"/>
                <w:sz w:val="18"/>
              </w:rPr>
              <w:t>Private uploads, durable revisions, thumbnails, outbound delivery.</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8"/>
              </w:rPr>
              <w:t>Audit</w:t>
            </w:r>
          </w:p>
        </w:tc>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8"/>
              </w:rPr>
              <w:t>Delivery/token metadata.</w:t>
            </w:r>
          </w:p>
        </w:tc>
        <w:tc>
          <w:tcPr>
            <w:tcW w:type="dxa" w:w="4160"/>
            <w:tcMar>
              <w:top w:w="80" w:type="dxa"/>
              <w:bottom w:w="80" w:type="dxa"/>
              <w:start w:w="120" w:type="dxa"/>
              <w:end w:w="120" w:type="dxa"/>
            </w:tcMar>
            <w:vAlign w:val="center"/>
          </w:tcPr>
          <w:p>
            <w:pPr>
              <w:spacing w:before="0" w:after="0" w:line="259" w:lineRule="auto"/>
            </w:pPr>
            <w:r>
              <w:rPr>
                <w:rFonts w:ascii="Arial" w:hAnsi="Arial"/>
                <w:color w:val="191818"/>
                <w:sz w:val="18"/>
              </w:rPr>
              <w:t>Before/after task state, grant, participant, attachment, Lift result.</w:t>
            </w:r>
          </w:p>
        </w:tc>
      </w:tr>
      <w:tr>
        <w:tc>
          <w:tcPr>
            <w:tcW w:type="dxa" w:w="1900"/>
            <w:tcMar>
              <w:top w:w="80" w:type="dxa"/>
              <w:bottom w:w="80" w:type="dxa"/>
              <w:start w:w="120" w:type="dxa"/>
              <w:end w:w="120" w:type="dxa"/>
            </w:tcMar>
            <w:vAlign w:val="center"/>
          </w:tcPr>
          <w:p>
            <w:pPr>
              <w:spacing w:before="0" w:after="0" w:line="259" w:lineRule="auto"/>
            </w:pPr>
            <w:r>
              <w:rPr>
                <w:rFonts w:ascii="Arial" w:hAnsi="Arial"/>
                <w:color w:val="191818"/>
                <w:sz w:val="18"/>
              </w:rPr>
              <w:t>Runtime</w:t>
            </w:r>
          </w:p>
        </w:tc>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8"/>
              </w:rPr>
              <w:t>Single public read request.</w:t>
            </w:r>
          </w:p>
        </w:tc>
        <w:tc>
          <w:tcPr>
            <w:tcW w:type="dxa" w:w="4160"/>
            <w:tcMar>
              <w:top w:w="80" w:type="dxa"/>
              <w:bottom w:w="80" w:type="dxa"/>
              <w:start w:w="120" w:type="dxa"/>
              <w:end w:w="120" w:type="dxa"/>
            </w:tcMar>
            <w:vAlign w:val="center"/>
          </w:tcPr>
          <w:p>
            <w:pPr>
              <w:spacing w:before="0" w:after="0" w:line="259" w:lineRule="auto"/>
            </w:pPr>
            <w:r>
              <w:rPr>
                <w:rFonts w:ascii="Arial" w:hAnsi="Arial"/>
                <w:color w:val="191818"/>
                <w:sz w:val="18"/>
              </w:rPr>
              <w:t>Background sync, queue/DLQ, file validation, long-running Lift reads.</w:t>
            </w:r>
          </w:p>
        </w:tc>
      </w:tr>
    </w:tbl>
    <w:p>
      <w:pPr>
        <w:spacing w:after="60"/>
      </w:pPr>
    </w:p>
    <w:p>
      <w:pPr>
        <w:pStyle w:val="Heading1"/>
        <w:keepNext/>
      </w:pPr>
      <w:r>
        <w:rPr>
          <w:rFonts w:ascii="Arial" w:hAnsi="Arial"/>
          <w:b/>
          <w:color w:val="39523B"/>
          <w:sz w:val="32"/>
        </w:rPr>
        <w:t>5. Domain model and persistence</w:t>
      </w:r>
    </w:p>
    <w:p>
      <w:pPr>
        <w:pStyle w:val="Heading2"/>
        <w:keepNext/>
      </w:pPr>
      <w:r>
        <w:rPr>
          <w:rFonts w:ascii="Arial" w:hAnsi="Arial"/>
          <w:b/>
          <w:color w:val="39523B"/>
          <w:sz w:val="26"/>
        </w:rPr>
        <w:t>5.1 Aggregate and identities</w:t>
      </w:r>
    </w:p>
    <w:p>
      <w:pPr>
        <w:spacing w:before="80" w:after="200" w:line="264" w:lineRule="auto"/>
        <w:ind w:left="115" w:right="115"/>
        <w:shd w:fill="EEF3EB"/>
        <w:pBdr>
          <w:left w:val="single" w:sz="18" w:space="8" w:color="39523B"/>
        </w:pBdr>
      </w:pPr>
      <w:r>
        <w:rPr>
          <w:rFonts w:ascii="Arial" w:hAnsi="Arial"/>
          <w:b/>
          <w:color w:val="39523B"/>
          <w:sz w:val="19"/>
        </w:rPr>
        <w:t xml:space="preserve">INVARIANT  </w:t>
      </w:r>
      <w:r>
        <w:rPr>
          <w:rFonts w:ascii="Arial" w:hAnsi="Arial"/>
          <w:color w:val="191818"/>
          <w:sz w:val="21"/>
        </w:rPr>
        <w:t>ProofOrder is keyed by normalized Lift order number. ProofTask has a Pathfinder-generated stable taskId. Once present, Lift ATTACHMENT_ID is the unique integration/decision identity. ORDER_LINE_ID groups tasks and provides line context; LINE_NUMBER is display and last-resort compatibility only.</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1700"/>
        <w:gridCol w:w="4650"/>
        <w:gridCol w:w="3010"/>
      </w:tblGrid>
      <w:tr>
        <w:trPr>
          <w:tblHeader w:val="true"/>
        </w:trPr>
        <w:tc>
          <w:tcPr>
            <w:tcW w:type="dxa" w:w="170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Entity</w:t>
            </w:r>
          </w:p>
        </w:tc>
        <w:tc>
          <w:tcPr>
            <w:tcW w:type="dxa" w:w="465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Purpose</w:t>
            </w:r>
          </w:p>
        </w:tc>
        <w:tc>
          <w:tcPr>
            <w:tcW w:type="dxa" w:w="301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Identity / lifecycle</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ProofOrder</w:t>
            </w:r>
          </w:p>
        </w:tc>
        <w:tc>
          <w:tcPr>
            <w:tcW w:type="dxa" w:w="4650"/>
            <w:tcMar>
              <w:top w:w="80" w:type="dxa"/>
              <w:bottom w:w="80" w:type="dxa"/>
              <w:start w:w="120" w:type="dxa"/>
              <w:end w:w="120" w:type="dxa"/>
            </w:tcMar>
            <w:vAlign w:val="center"/>
          </w:tcPr>
          <w:p>
            <w:pPr>
              <w:spacing w:before="0" w:after="0" w:line="259" w:lineRule="auto"/>
            </w:pPr>
            <w:r>
              <w:rPr>
                <w:rFonts w:ascii="Arial" w:hAnsi="Arial"/>
                <w:color w:val="191818"/>
                <w:sz w:val="16"/>
              </w:rPr>
              <w:t>Current order health, header, line snapshots, sync timestamps and version.</w:t>
            </w:r>
          </w:p>
        </w:tc>
        <w:tc>
          <w:tcPr>
            <w:tcW w:type="dxa" w:w="3010"/>
            <w:tcMar>
              <w:top w:w="80" w:type="dxa"/>
              <w:bottom w:w="80" w:type="dxa"/>
              <w:start w:w="120" w:type="dxa"/>
              <w:end w:w="120" w:type="dxa"/>
            </w:tcMar>
            <w:vAlign w:val="center"/>
          </w:tcPr>
          <w:p>
            <w:pPr>
              <w:spacing w:before="0" w:after="0" w:line="259" w:lineRule="auto"/>
            </w:pPr>
            <w:r>
              <w:rPr>
                <w:rFonts w:ascii="Arial" w:hAnsi="Arial"/>
                <w:color w:val="191818"/>
                <w:sz w:val="16"/>
              </w:rPr>
              <w:t>ORDER#A######## / PROFILE; retained after completion or missing state.</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ProofTask</w:t>
            </w:r>
          </w:p>
        </w:tc>
        <w:tc>
          <w:tcPr>
            <w:tcW w:type="dxa" w:w="4650"/>
            <w:tcMar>
              <w:top w:w="80" w:type="dxa"/>
              <w:bottom w:w="80" w:type="dxa"/>
              <w:start w:w="120" w:type="dxa"/>
              <w:end w:w="120" w:type="dxa"/>
            </w:tcMar>
            <w:vAlign w:val="center"/>
          </w:tcPr>
          <w:p>
            <w:pPr>
              <w:spacing w:before="0" w:after="0" w:line="259" w:lineRule="auto"/>
            </w:pPr>
            <w:r>
              <w:rPr>
                <w:rFonts w:ascii="Arial" w:hAnsi="Arial"/>
                <w:color w:val="191818"/>
                <w:sz w:val="16"/>
              </w:rPr>
              <w:t>Current customer-actionable attachment or waiting line shell.</w:t>
            </w:r>
          </w:p>
        </w:tc>
        <w:tc>
          <w:tcPr>
            <w:tcW w:type="dxa" w:w="3010"/>
            <w:tcMar>
              <w:top w:w="80" w:type="dxa"/>
              <w:bottom w:w="80" w:type="dxa"/>
              <w:start w:w="120" w:type="dxa"/>
              <w:end w:w="120" w:type="dxa"/>
            </w:tcMar>
            <w:vAlign w:val="center"/>
          </w:tcPr>
          <w:p>
            <w:pPr>
              <w:spacing w:before="0" w:after="0" w:line="259" w:lineRule="auto"/>
            </w:pPr>
            <w:r>
              <w:rPr>
                <w:rFonts w:ascii="Arial" w:hAnsi="Arial"/>
                <w:color w:val="191818"/>
                <w:sz w:val="16"/>
              </w:rPr>
              <w:t>TASK#ptask_*; conditional numeric version; active attachment unique per order.</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ProofVersion</w:t>
            </w:r>
          </w:p>
        </w:tc>
        <w:tc>
          <w:tcPr>
            <w:tcW w:type="dxa" w:w="4650"/>
            <w:tcMar>
              <w:top w:w="80" w:type="dxa"/>
              <w:bottom w:w="80" w:type="dxa"/>
              <w:start w:w="120" w:type="dxa"/>
              <w:end w:w="120" w:type="dxa"/>
            </w:tcMar>
            <w:vAlign w:val="center"/>
          </w:tcPr>
          <w:p>
            <w:pPr>
              <w:spacing w:before="0" w:after="0" w:line="259" w:lineRule="auto"/>
            </w:pPr>
            <w:r>
              <w:rPr>
                <w:rFonts w:ascii="Arial" w:hAnsi="Arial"/>
                <w:color w:val="191818"/>
                <w:sz w:val="16"/>
              </w:rPr>
              <w:t>Historical/current proof file, feedback, reports and approval metadata.</w:t>
            </w:r>
          </w:p>
        </w:tc>
        <w:tc>
          <w:tcPr>
            <w:tcW w:type="dxa" w:w="3010"/>
            <w:tcMar>
              <w:top w:w="80" w:type="dxa"/>
              <w:bottom w:w="80" w:type="dxa"/>
              <w:start w:w="120" w:type="dxa"/>
              <w:end w:w="120" w:type="dxa"/>
            </w:tcMar>
            <w:vAlign w:val="center"/>
          </w:tcPr>
          <w:p>
            <w:pPr>
              <w:spacing w:before="0" w:after="0" w:line="259" w:lineRule="auto"/>
            </w:pPr>
            <w:r>
              <w:rPr>
                <w:rFonts w:ascii="Arial" w:hAnsi="Arial"/>
                <w:color w:val="191818"/>
                <w:sz w:val="16"/>
              </w:rPr>
              <w:t>TASK#...#VERSION#timestamp-or-attachment; never destructively overwritten.</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ProofAccessGrant</w:t>
            </w:r>
          </w:p>
        </w:tc>
        <w:tc>
          <w:tcPr>
            <w:tcW w:type="dxa" w:w="4650"/>
            <w:tcMar>
              <w:top w:w="80" w:type="dxa"/>
              <w:bottom w:w="80" w:type="dxa"/>
              <w:start w:w="120" w:type="dxa"/>
              <w:end w:w="120" w:type="dxa"/>
            </w:tcMar>
            <w:vAlign w:val="center"/>
          </w:tcPr>
          <w:p>
            <w:pPr>
              <w:spacing w:before="0" w:after="0" w:line="259" w:lineRule="auto"/>
            </w:pPr>
            <w:r>
              <w:rPr>
                <w:rFonts w:ascii="Arial" w:hAnsi="Arial"/>
                <w:color w:val="191818"/>
                <w:sz w:val="16"/>
              </w:rPr>
              <w:t>Order scope, view/decision permission, logical expiry and revocation.</w:t>
            </w:r>
          </w:p>
        </w:tc>
        <w:tc>
          <w:tcPr>
            <w:tcW w:type="dxa" w:w="3010"/>
            <w:tcMar>
              <w:top w:w="80" w:type="dxa"/>
              <w:bottom w:w="80" w:type="dxa"/>
              <w:start w:w="120" w:type="dxa"/>
              <w:end w:w="120" w:type="dxa"/>
            </w:tcMar>
            <w:vAlign w:val="center"/>
          </w:tcPr>
          <w:p>
            <w:pPr>
              <w:spacing w:before="0" w:after="0" w:line="259" w:lineRule="auto"/>
            </w:pPr>
            <w:r>
              <w:rPr>
                <w:rFonts w:ascii="Arial" w:hAnsi="Arial"/>
                <w:color w:val="191818"/>
                <w:sz w:val="16"/>
              </w:rPr>
              <w:t>GRANT#pgrant_*; token SHA-256 in GSI; raw token returned once.</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ProofSession</w:t>
            </w:r>
          </w:p>
        </w:tc>
        <w:tc>
          <w:tcPr>
            <w:tcW w:type="dxa" w:w="4650"/>
            <w:tcMar>
              <w:top w:w="80" w:type="dxa"/>
              <w:bottom w:w="80" w:type="dxa"/>
              <w:start w:w="120" w:type="dxa"/>
              <w:end w:w="120" w:type="dxa"/>
            </w:tcMar>
            <w:vAlign w:val="center"/>
          </w:tcPr>
          <w:p>
            <w:pPr>
              <w:spacing w:before="0" w:after="0" w:line="259" w:lineRule="auto"/>
            </w:pPr>
            <w:r>
              <w:rPr>
                <w:rFonts w:ascii="Arial" w:hAnsi="Arial"/>
                <w:color w:val="191818"/>
                <w:sz w:val="16"/>
              </w:rPr>
              <w:t>Short-lived exchanged browser session.</w:t>
            </w:r>
          </w:p>
        </w:tc>
        <w:tc>
          <w:tcPr>
            <w:tcW w:type="dxa" w:w="3010"/>
            <w:tcMar>
              <w:top w:w="80" w:type="dxa"/>
              <w:bottom w:w="80" w:type="dxa"/>
              <w:start w:w="120" w:type="dxa"/>
              <w:end w:w="120" w:type="dxa"/>
            </w:tcMar>
            <w:vAlign w:val="center"/>
          </w:tcPr>
          <w:p>
            <w:pPr>
              <w:spacing w:before="0" w:after="0" w:line="259" w:lineRule="auto"/>
            </w:pPr>
            <w:r>
              <w:rPr>
                <w:rFonts w:ascii="Arial" w:hAnsi="Arial"/>
                <w:color w:val="191818"/>
                <w:sz w:val="16"/>
              </w:rPr>
              <w:t>SESSION#hash; TTL; grant and permission snapshot revalidated on each request.</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ProofParticipant</w:t>
            </w:r>
          </w:p>
        </w:tc>
        <w:tc>
          <w:tcPr>
            <w:tcW w:type="dxa" w:w="4650"/>
            <w:tcMar>
              <w:top w:w="80" w:type="dxa"/>
              <w:bottom w:w="80" w:type="dxa"/>
              <w:start w:w="120" w:type="dxa"/>
              <w:end w:w="120" w:type="dxa"/>
            </w:tcMar>
            <w:vAlign w:val="center"/>
          </w:tcPr>
          <w:p>
            <w:pPr>
              <w:spacing w:before="0" w:after="0" w:line="259" w:lineRule="auto"/>
            </w:pPr>
            <w:r>
              <w:rPr>
                <w:rFonts w:ascii="Arial" w:hAnsi="Arial"/>
                <w:color w:val="191818"/>
                <w:sz w:val="16"/>
              </w:rPr>
              <w:t>Reviewer display name/email and first/last seen.</w:t>
            </w:r>
          </w:p>
        </w:tc>
        <w:tc>
          <w:tcPr>
            <w:tcW w:type="dxa" w:w="3010"/>
            <w:tcMar>
              <w:top w:w="80" w:type="dxa"/>
              <w:bottom w:w="80" w:type="dxa"/>
              <w:start w:w="120" w:type="dxa"/>
              <w:end w:w="120" w:type="dxa"/>
            </w:tcMar>
            <w:vAlign w:val="center"/>
          </w:tcPr>
          <w:p>
            <w:pPr>
              <w:spacing w:before="0" w:after="0" w:line="259" w:lineRule="auto"/>
            </w:pPr>
            <w:r>
              <w:rPr>
                <w:rFonts w:ascii="Arial" w:hAnsi="Arial"/>
                <w:color w:val="191818"/>
                <w:sz w:val="16"/>
              </w:rPr>
              <w:t>PARTICIPANT#... under grant; email visibility policy is separate.</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FeedbackAck</w:t>
            </w:r>
          </w:p>
        </w:tc>
        <w:tc>
          <w:tcPr>
            <w:tcW w:type="dxa" w:w="4650"/>
            <w:tcMar>
              <w:top w:w="80" w:type="dxa"/>
              <w:bottom w:w="80" w:type="dxa"/>
              <w:start w:w="120" w:type="dxa"/>
              <w:end w:w="120" w:type="dxa"/>
            </w:tcMar>
            <w:vAlign w:val="center"/>
          </w:tcPr>
          <w:p>
            <w:pPr>
              <w:spacing w:before="0" w:after="0" w:line="259" w:lineRule="auto"/>
            </w:pPr>
            <w:r>
              <w:rPr>
                <w:rFonts w:ascii="Arial" w:hAnsi="Arial"/>
                <w:color w:val="191818"/>
                <w:sz w:val="16"/>
              </w:rPr>
              <w:t>Participant acknowledgement bound to current feedback fingerprint.</w:t>
            </w:r>
          </w:p>
        </w:tc>
        <w:tc>
          <w:tcPr>
            <w:tcW w:type="dxa" w:w="3010"/>
            <w:tcMar>
              <w:top w:w="80" w:type="dxa"/>
              <w:bottom w:w="80" w:type="dxa"/>
              <w:start w:w="120" w:type="dxa"/>
              <w:end w:w="120" w:type="dxa"/>
            </w:tcMar>
            <w:vAlign w:val="center"/>
          </w:tcPr>
          <w:p>
            <w:pPr>
              <w:spacing w:before="0" w:after="0" w:line="259" w:lineRule="auto"/>
            </w:pPr>
            <w:r>
              <w:rPr>
                <w:rFonts w:ascii="Arial" w:hAnsi="Arial"/>
                <w:color w:val="191818"/>
                <w:sz w:val="16"/>
              </w:rPr>
              <w:t>ACK#participant#task; resets on attachment/comment change.</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RevisionUpload</w:t>
            </w:r>
          </w:p>
        </w:tc>
        <w:tc>
          <w:tcPr>
            <w:tcW w:type="dxa" w:w="4650"/>
            <w:tcMar>
              <w:top w:w="80" w:type="dxa"/>
              <w:bottom w:w="80" w:type="dxa"/>
              <w:start w:w="120" w:type="dxa"/>
              <w:end w:w="120" w:type="dxa"/>
            </w:tcMar>
            <w:vAlign w:val="center"/>
          </w:tcPr>
          <w:p>
            <w:pPr>
              <w:spacing w:before="0" w:after="0" w:line="259" w:lineRule="auto"/>
            </w:pPr>
            <w:r>
              <w:rPr>
                <w:rFonts w:ascii="Arial" w:hAnsi="Arial"/>
                <w:color w:val="191818"/>
                <w:sz w:val="16"/>
              </w:rPr>
              <w:t>Presigned upload, object facts, state and Lift outcome.</w:t>
            </w:r>
          </w:p>
        </w:tc>
        <w:tc>
          <w:tcPr>
            <w:tcW w:type="dxa" w:w="3010"/>
            <w:tcMar>
              <w:top w:w="80" w:type="dxa"/>
              <w:bottom w:w="80" w:type="dxa"/>
              <w:start w:w="120" w:type="dxa"/>
              <w:end w:w="120" w:type="dxa"/>
            </w:tcMar>
            <w:vAlign w:val="center"/>
          </w:tcPr>
          <w:p>
            <w:pPr>
              <w:spacing w:before="0" w:after="0" w:line="259" w:lineRule="auto"/>
            </w:pPr>
            <w:r>
              <w:rPr>
                <w:rFonts w:ascii="Arial" w:hAnsi="Arial"/>
                <w:color w:val="191818"/>
                <w:sz w:val="16"/>
              </w:rPr>
              <w:t>REVISION#...; durable after submitted; initialized/abandoned records TTL separately.</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Idempotency</w:t>
            </w:r>
          </w:p>
        </w:tc>
        <w:tc>
          <w:tcPr>
            <w:tcW w:type="dxa" w:w="4650"/>
            <w:tcMar>
              <w:top w:w="80" w:type="dxa"/>
              <w:bottom w:w="80" w:type="dxa"/>
              <w:start w:w="120" w:type="dxa"/>
              <w:end w:w="120" w:type="dxa"/>
            </w:tcMar>
            <w:vAlign w:val="center"/>
          </w:tcPr>
          <w:p>
            <w:pPr>
              <w:spacing w:before="0" w:after="0" w:line="259" w:lineRule="auto"/>
            </w:pPr>
            <w:r>
              <w:rPr>
                <w:rFonts w:ascii="Arial" w:hAnsi="Arial"/>
                <w:color w:val="191818"/>
                <w:sz w:val="16"/>
              </w:rPr>
              <w:t>Request hash and terminal response for customer writes.</w:t>
            </w:r>
          </w:p>
        </w:tc>
        <w:tc>
          <w:tcPr>
            <w:tcW w:type="dxa" w:w="3010"/>
            <w:tcMar>
              <w:top w:w="80" w:type="dxa"/>
              <w:bottom w:w="80" w:type="dxa"/>
              <w:start w:w="120" w:type="dxa"/>
              <w:end w:w="120" w:type="dxa"/>
            </w:tcMar>
            <w:vAlign w:val="center"/>
          </w:tcPr>
          <w:p>
            <w:pPr>
              <w:spacing w:before="0" w:after="0" w:line="259" w:lineRule="auto"/>
            </w:pPr>
            <w:r>
              <w:rPr>
                <w:rFonts w:ascii="Arial" w:hAnsi="Arial"/>
                <w:color w:val="191818"/>
                <w:sz w:val="16"/>
              </w:rPr>
              <w:t>IDEMPOTENCY#key; TTL at least 24 hours.</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SyncLock</w:t>
            </w:r>
          </w:p>
        </w:tc>
        <w:tc>
          <w:tcPr>
            <w:tcW w:type="dxa" w:w="4650"/>
            <w:tcMar>
              <w:top w:w="80" w:type="dxa"/>
              <w:bottom w:w="80" w:type="dxa"/>
              <w:start w:w="120" w:type="dxa"/>
              <w:end w:w="120" w:type="dxa"/>
            </w:tcMar>
            <w:vAlign w:val="center"/>
          </w:tcPr>
          <w:p>
            <w:pPr>
              <w:spacing w:before="0" w:after="0" w:line="259" w:lineRule="auto"/>
            </w:pPr>
            <w:r>
              <w:rPr>
                <w:rFonts w:ascii="Arial" w:hAnsi="Arial"/>
                <w:color w:val="191818"/>
                <w:sz w:val="16"/>
              </w:rPr>
              <w:t>Prevents duplicate refresh for one order.</w:t>
            </w:r>
          </w:p>
        </w:tc>
        <w:tc>
          <w:tcPr>
            <w:tcW w:type="dxa" w:w="3010"/>
            <w:tcMar>
              <w:top w:w="80" w:type="dxa"/>
              <w:bottom w:w="80" w:type="dxa"/>
              <w:start w:w="120" w:type="dxa"/>
              <w:end w:w="120" w:type="dxa"/>
            </w:tcMar>
            <w:vAlign w:val="center"/>
          </w:tcPr>
          <w:p>
            <w:pPr>
              <w:spacing w:before="0" w:after="0" w:line="259" w:lineRule="auto"/>
            </w:pPr>
            <w:r>
              <w:rPr>
                <w:rFonts w:ascii="Arial" w:hAnsi="Arial"/>
                <w:color w:val="191818"/>
                <w:sz w:val="16"/>
              </w:rPr>
              <w:t>LOCK#SYNC; conditional expiry.</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ProofAuditEvent</w:t>
            </w:r>
          </w:p>
        </w:tc>
        <w:tc>
          <w:tcPr>
            <w:tcW w:type="dxa" w:w="4650"/>
            <w:tcMar>
              <w:top w:w="80" w:type="dxa"/>
              <w:bottom w:w="80" w:type="dxa"/>
              <w:start w:w="120" w:type="dxa"/>
              <w:end w:w="120" w:type="dxa"/>
            </w:tcMar>
            <w:vAlign w:val="center"/>
          </w:tcPr>
          <w:p>
            <w:pPr>
              <w:spacing w:before="0" w:after="0" w:line="259" w:lineRule="auto"/>
            </w:pPr>
            <w:r>
              <w:rPr>
                <w:rFonts w:ascii="Arial" w:hAnsi="Arial"/>
                <w:color w:val="191818"/>
                <w:sz w:val="16"/>
              </w:rPr>
              <w:t>Append-only actor/action/before/after/upstream metadata.</w:t>
            </w:r>
          </w:p>
        </w:tc>
        <w:tc>
          <w:tcPr>
            <w:tcW w:type="dxa" w:w="3010"/>
            <w:tcMar>
              <w:top w:w="80" w:type="dxa"/>
              <w:bottom w:w="80" w:type="dxa"/>
              <w:start w:w="120" w:type="dxa"/>
              <w:end w:w="120" w:type="dxa"/>
            </w:tcMar>
            <w:vAlign w:val="center"/>
          </w:tcPr>
          <w:p>
            <w:pPr>
              <w:spacing w:before="0" w:after="0" w:line="259" w:lineRule="auto"/>
            </w:pPr>
            <w:r>
              <w:rPr>
                <w:rFonts w:ascii="Arial" w:hAnsi="Arial"/>
                <w:color w:val="191818"/>
                <w:sz w:val="16"/>
              </w:rPr>
              <w:t>Dedicated table or stream; restricted retention policy.</w:t>
            </w:r>
          </w:p>
        </w:tc>
      </w:tr>
    </w:tbl>
    <w:p>
      <w:pPr>
        <w:spacing w:after="60"/>
      </w:pPr>
    </w:p>
    <w:p>
      <w:pPr>
        <w:pStyle w:val="Heading2"/>
        <w:keepNext/>
      </w:pPr>
      <w:r>
        <w:rPr>
          <w:rFonts w:ascii="Arial" w:hAnsi="Arial"/>
          <w:b/>
          <w:color w:val="39523B"/>
          <w:sz w:val="26"/>
        </w:rPr>
        <w:t>5.2 DynamoDB recommendation</w:t>
      </w:r>
    </w:p>
    <w:p>
      <w:pPr>
        <w:spacing w:before="0" w:after="120" w:line="264" w:lineRule="auto"/>
      </w:pPr>
      <w:r>
        <w:rPr>
          <w:rFonts w:ascii="Arial" w:hAnsi="Arial"/>
          <w:b w:val="0"/>
          <w:i w:val="0"/>
          <w:color w:val="191818"/>
          <w:sz w:val="22"/>
        </w:rPr>
        <w:t>Use a dedicated on-demand table such as Pathfinder-ProofCore-prod with pk/sk and two GSIs, plus Pathfinder-ProofAudit-prod when independent permissions or retention are required. Enable encryption and PITR. Do not add Proof records to the current full-store scan-and-replace path.</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1700"/>
        <w:gridCol w:w="2600"/>
        <w:gridCol w:w="3000"/>
        <w:gridCol w:w="2060"/>
      </w:tblGrid>
      <w:tr>
        <w:trPr>
          <w:tblHeader w:val="true"/>
        </w:trPr>
        <w:tc>
          <w:tcPr>
            <w:tcW w:type="dxa" w:w="170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Record</w:t>
            </w:r>
          </w:p>
        </w:tc>
        <w:tc>
          <w:tcPr>
            <w:tcW w:type="dxa" w:w="260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pk</w:t>
            </w:r>
          </w:p>
        </w:tc>
        <w:tc>
          <w:tcPr>
            <w:tcW w:type="dxa" w:w="300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sk</w:t>
            </w:r>
          </w:p>
        </w:tc>
        <w:tc>
          <w:tcPr>
            <w:tcW w:type="dxa" w:w="206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Index</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Order</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ORDER#A0221132</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6"/>
              </w:rPr>
              <w:t>PROFILE</w:t>
            </w:r>
          </w:p>
        </w:tc>
        <w:tc>
          <w:tcPr>
            <w:tcW w:type="dxa" w:w="2060"/>
            <w:tcMar>
              <w:top w:w="80" w:type="dxa"/>
              <w:bottom w:w="80" w:type="dxa"/>
              <w:start w:w="120" w:type="dxa"/>
              <w:end w:w="120" w:type="dxa"/>
            </w:tcMar>
            <w:vAlign w:val="center"/>
          </w:tcPr>
          <w:p>
            <w:pPr>
              <w:spacing w:before="0" w:after="0" w:line="259" w:lineRule="auto"/>
            </w:pPr>
            <w:r>
              <w:rPr>
                <w:rFonts w:ascii="Arial" w:hAnsi="Arial"/>
                <w:color w:val="191818"/>
                <w:sz w:val="16"/>
              </w:rPr>
              <w:t>GSI health / updated time</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Task</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ORDER#A0221132</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6"/>
              </w:rPr>
              <w:t>TASK#ptask_...</w:t>
            </w:r>
          </w:p>
        </w:tc>
        <w:tc>
          <w:tcPr>
            <w:tcW w:type="dxa" w:w="2060"/>
            <w:tcMar>
              <w:top w:w="80" w:type="dxa"/>
              <w:bottom w:w="80" w:type="dxa"/>
              <w:start w:w="120" w:type="dxa"/>
              <w:end w:w="120" w:type="dxa"/>
            </w:tcMar>
            <w:vAlign w:val="center"/>
          </w:tcPr>
          <w:p>
            <w:pPr>
              <w:spacing w:before="0" w:after="0" w:line="259" w:lineRule="auto"/>
            </w:pPr>
            <w:r>
              <w:rPr>
                <w:rFonts w:ascii="Arial" w:hAnsi="Arial"/>
                <w:color w:val="191818"/>
                <w:sz w:val="16"/>
              </w:rPr>
              <w:t>GSI1 ATTACHMENT#25435041; GSI2 LINE#9301338</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Version</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ORDER#A0221132</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6"/>
              </w:rPr>
              <w:t>TASK#...#VERSION#...</w:t>
            </w:r>
          </w:p>
        </w:tc>
        <w:tc>
          <w:tcPr>
            <w:tcW w:type="dxa" w:w="2060"/>
            <w:tcMar>
              <w:top w:w="80" w:type="dxa"/>
              <w:bottom w:w="80" w:type="dxa"/>
              <w:start w:w="120" w:type="dxa"/>
              <w:end w:w="120" w:type="dxa"/>
            </w:tcMar>
            <w:vAlign w:val="center"/>
          </w:tcPr>
          <w:p>
            <w:pPr>
              <w:spacing w:before="0" w:after="0" w:line="259" w:lineRule="auto"/>
            </w:pPr>
            <w:r>
              <w:rPr>
                <w:rFonts w:ascii="Arial" w:hAnsi="Arial"/>
                <w:color w:val="191818"/>
                <w:sz w:val="16"/>
              </w:rPr>
              <w:t>none required</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Grant</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ORDER#A0221132</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6"/>
              </w:rPr>
              <w:t>GRANT#pgrant_...</w:t>
            </w:r>
          </w:p>
        </w:tc>
        <w:tc>
          <w:tcPr>
            <w:tcW w:type="dxa" w:w="2060"/>
            <w:tcMar>
              <w:top w:w="80" w:type="dxa"/>
              <w:bottom w:w="80" w:type="dxa"/>
              <w:start w:w="120" w:type="dxa"/>
              <w:end w:w="120" w:type="dxa"/>
            </w:tcMar>
            <w:vAlign w:val="center"/>
          </w:tcPr>
          <w:p>
            <w:pPr>
              <w:spacing w:before="0" w:after="0" w:line="259" w:lineRule="auto"/>
            </w:pPr>
            <w:r>
              <w:rPr>
                <w:rFonts w:ascii="Arial" w:hAnsi="Arial"/>
                <w:color w:val="191818"/>
                <w:sz w:val="16"/>
              </w:rPr>
              <w:t>GSI1 TOKEN#sha256; GSI2 GRANT#id</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Participant</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GRANT#pgrant_...</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6"/>
              </w:rPr>
              <w:t>PARTICIPANT#...</w:t>
            </w:r>
          </w:p>
        </w:tc>
        <w:tc>
          <w:tcPr>
            <w:tcW w:type="dxa" w:w="2060"/>
            <w:tcMar>
              <w:top w:w="80" w:type="dxa"/>
              <w:bottom w:w="80" w:type="dxa"/>
              <w:start w:w="120" w:type="dxa"/>
              <w:end w:w="120" w:type="dxa"/>
            </w:tcMar>
            <w:vAlign w:val="center"/>
          </w:tcPr>
          <w:p>
            <w:pPr>
              <w:spacing w:before="0" w:after="0" w:line="259" w:lineRule="auto"/>
            </w:pPr>
            <w:r>
              <w:rPr>
                <w:rFonts w:ascii="Arial" w:hAnsi="Arial"/>
                <w:color w:val="191818"/>
                <w:sz w:val="16"/>
              </w:rPr>
              <w:t>optional email hash</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Session</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SESSION#sha256</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6"/>
              </w:rPr>
              <w:t>PROFILE</w:t>
            </w:r>
          </w:p>
        </w:tc>
        <w:tc>
          <w:tcPr>
            <w:tcW w:type="dxa" w:w="2060"/>
            <w:tcMar>
              <w:top w:w="80" w:type="dxa"/>
              <w:bottom w:w="80" w:type="dxa"/>
              <w:start w:w="120" w:type="dxa"/>
              <w:end w:w="120" w:type="dxa"/>
            </w:tcMar>
            <w:vAlign w:val="center"/>
          </w:tcPr>
          <w:p>
            <w:pPr>
              <w:spacing w:before="0" w:after="0" w:line="259" w:lineRule="auto"/>
            </w:pPr>
            <w:r>
              <w:rPr>
                <w:rFonts w:ascii="Arial" w:hAnsi="Arial"/>
                <w:color w:val="191818"/>
                <w:sz w:val="16"/>
              </w:rPr>
              <w:t>TTL expires_at_epoch</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Revision</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ORDER#A0221132</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6"/>
              </w:rPr>
              <w:t>REVISION#...</w:t>
            </w:r>
          </w:p>
        </w:tc>
        <w:tc>
          <w:tcPr>
            <w:tcW w:type="dxa" w:w="2060"/>
            <w:tcMar>
              <w:top w:w="80" w:type="dxa"/>
              <w:bottom w:w="80" w:type="dxa"/>
              <w:start w:w="120" w:type="dxa"/>
              <w:end w:w="120" w:type="dxa"/>
            </w:tcMar>
            <w:vAlign w:val="center"/>
          </w:tcPr>
          <w:p>
            <w:pPr>
              <w:spacing w:before="0" w:after="0" w:line="259" w:lineRule="auto"/>
            </w:pPr>
            <w:r>
              <w:rPr>
                <w:rFonts w:ascii="Arial" w:hAnsi="Arial"/>
                <w:color w:val="191818"/>
                <w:sz w:val="16"/>
              </w:rPr>
              <w:t>GSI by task/status if operationally needed</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Idempotency</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ORDER#A0221132</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6"/>
              </w:rPr>
              <w:t>IDEMPOTENCY#uuid</w:t>
            </w:r>
          </w:p>
        </w:tc>
        <w:tc>
          <w:tcPr>
            <w:tcW w:type="dxa" w:w="2060"/>
            <w:tcMar>
              <w:top w:w="80" w:type="dxa"/>
              <w:bottom w:w="80" w:type="dxa"/>
              <w:start w:w="120" w:type="dxa"/>
              <w:end w:w="120" w:type="dxa"/>
            </w:tcMar>
            <w:vAlign w:val="center"/>
          </w:tcPr>
          <w:p>
            <w:pPr>
              <w:spacing w:before="0" w:after="0" w:line="259" w:lineRule="auto"/>
            </w:pPr>
            <w:r>
              <w:rPr>
                <w:rFonts w:ascii="Arial" w:hAnsi="Arial"/>
                <w:color w:val="191818"/>
                <w:sz w:val="16"/>
              </w:rPr>
              <w:t>TTL</w:t>
            </w:r>
          </w:p>
        </w:tc>
      </w:tr>
      <w:tr>
        <w:tc>
          <w:tcPr>
            <w:tcW w:type="dxa" w:w="1700"/>
            <w:tcMar>
              <w:top w:w="80" w:type="dxa"/>
              <w:bottom w:w="80" w:type="dxa"/>
              <w:start w:w="120" w:type="dxa"/>
              <w:end w:w="120" w:type="dxa"/>
            </w:tcMar>
            <w:vAlign w:val="center"/>
          </w:tcPr>
          <w:p>
            <w:pPr>
              <w:spacing w:before="0" w:after="0" w:line="259" w:lineRule="auto"/>
            </w:pPr>
            <w:r>
              <w:rPr>
                <w:rFonts w:ascii="Arial" w:hAnsi="Arial"/>
                <w:color w:val="191818"/>
                <w:sz w:val="16"/>
              </w:rPr>
              <w:t>Lock</w:t>
            </w:r>
          </w:p>
        </w:tc>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6"/>
              </w:rPr>
              <w:t>ORDER#A0221132</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6"/>
              </w:rPr>
              <w:t>LOCK#SYNC</w:t>
            </w:r>
          </w:p>
        </w:tc>
        <w:tc>
          <w:tcPr>
            <w:tcW w:type="dxa" w:w="2060"/>
            <w:tcMar>
              <w:top w:w="80" w:type="dxa"/>
              <w:bottom w:w="80" w:type="dxa"/>
              <w:start w:w="120" w:type="dxa"/>
              <w:end w:w="120" w:type="dxa"/>
            </w:tcMar>
            <w:vAlign w:val="center"/>
          </w:tcPr>
          <w:p>
            <w:pPr>
              <w:spacing w:before="0" w:after="0" w:line="259" w:lineRule="auto"/>
            </w:pPr>
            <w:r>
              <w:rPr>
                <w:rFonts w:ascii="Arial" w:hAnsi="Arial"/>
                <w:color w:val="191818"/>
                <w:sz w:val="16"/>
              </w:rPr>
              <w:t>TTL/conditional expiry</w:t>
            </w:r>
          </w:p>
        </w:tc>
      </w:tr>
    </w:tbl>
    <w:p>
      <w:pPr>
        <w:spacing w:after="60"/>
      </w:pPr>
    </w:p>
    <w:p>
      <w:pPr>
        <w:spacing w:before="0" w:after="120" w:line="264" w:lineRule="auto"/>
      </w:pPr>
      <w:r>
        <w:rPr>
          <w:rFonts w:ascii="Arial" w:hAnsi="Arial"/>
          <w:b w:val="0"/>
          <w:i w:val="0"/>
          <w:color w:val="191818"/>
          <w:sz w:val="22"/>
        </w:rPr>
        <w:t>Grants should expire logically but remain as evidence unless policy says otherwise; TTL should remove sessions, idempotency, locks, and abandoned upload metadata—not proof history, customer revisions, grants, or audit by default.</w:t>
      </w:r>
    </w:p>
    <w:p>
      <w:pPr>
        <w:pStyle w:val="Heading2"/>
        <w:keepNext/>
      </w:pPr>
      <w:r>
        <w:rPr>
          <w:rFonts w:ascii="Arial" w:hAnsi="Arial"/>
          <w:b/>
          <w:color w:val="39523B"/>
          <w:sz w:val="26"/>
        </w:rPr>
        <w:t>5.3 Concurrency and audit</w:t>
      </w:r>
    </w:p>
    <w:p>
      <w:pPr>
        <w:pStyle w:val="VornanBullet"/>
        <w:spacing w:after="160" w:line="280" w:lineRule="auto"/>
        <w:ind w:left="720" w:hanging="360"/>
      </w:pPr>
      <w:r>
        <w:rPr>
          <w:rFonts w:ascii="Arial" w:hAnsi="Arial"/>
          <w:color w:val="191818"/>
          <w:sz w:val="21"/>
        </w:rPr>
        <w:t>Every mutable task carries a numeric version; public writes require expectedVersion and use a conditional update.</w:t>
      </w:r>
    </w:p>
    <w:p>
      <w:pPr>
        <w:pStyle w:val="VornanBullet"/>
        <w:spacing w:after="160" w:line="280" w:lineRule="auto"/>
        <w:ind w:left="720" w:hanging="360"/>
      </w:pPr>
      <w:r>
        <w:rPr>
          <w:rFonts w:ascii="Arial" w:hAnsi="Arial"/>
          <w:color w:val="191818"/>
          <w:sz w:val="21"/>
        </w:rPr>
        <w:t>Every decision requires an Idempotency-Key; the same key/body returns the recorded result and a changed body returns 409.</w:t>
      </w:r>
    </w:p>
    <w:p>
      <w:pPr>
        <w:pStyle w:val="VornanBullet"/>
        <w:spacing w:after="160" w:line="280" w:lineRule="auto"/>
        <w:ind w:left="720" w:hanging="360"/>
      </w:pPr>
      <w:r>
        <w:rPr>
          <w:rFonts w:ascii="Arial" w:hAnsi="Arial"/>
          <w:color w:val="191818"/>
          <w:sz w:val="21"/>
        </w:rPr>
        <w:t>Persist an intent/audit event before or atomically with the upstream call, then reconcile to the Lift-confirmed stable state.</w:t>
      </w:r>
    </w:p>
    <w:p>
      <w:pPr>
        <w:pStyle w:val="VornanBullet"/>
        <w:spacing w:after="160" w:line="280" w:lineRule="auto"/>
        <w:ind w:left="720" w:hanging="360"/>
      </w:pPr>
      <w:r>
        <w:rPr>
          <w:rFonts w:ascii="Arial" w:hAnsi="Arial"/>
          <w:color w:val="191818"/>
          <w:sz w:val="21"/>
        </w:rPr>
        <w:t>A successful Lift write followed by a failed refresh returns an accepted/reconciling state, never an unverified local approval.</w:t>
      </w:r>
    </w:p>
    <w:p>
      <w:pPr>
        <w:pStyle w:val="VornanBullet"/>
        <w:spacing w:after="160" w:line="280" w:lineRule="auto"/>
        <w:ind w:left="720" w:hanging="360"/>
      </w:pPr>
      <w:r>
        <w:rPr>
          <w:rFonts w:ascii="Arial" w:hAnsi="Arial"/>
          <w:color w:val="191818"/>
          <w:sz w:val="21"/>
        </w:rPr>
        <w:t>Audit stores request IDs, actor IDs, order/task/line/attachment IDs, before/after summaries, and redacted Lift outcome—not tokens, email, signed URLs, JWTs, or raw creative payloads.</w:t>
      </w:r>
    </w:p>
    <w:p>
      <w:pPr>
        <w:pStyle w:val="Heading1"/>
        <w:keepNext/>
      </w:pPr>
      <w:r>
        <w:rPr>
          <w:rFonts w:ascii="Arial" w:hAnsi="Arial"/>
          <w:b/>
          <w:color w:val="39523B"/>
          <w:sz w:val="32"/>
        </w:rPr>
        <w:t>6. Lift integration contract</w:t>
      </w:r>
    </w:p>
    <w:p>
      <w:pPr>
        <w:pStyle w:val="Heading2"/>
        <w:keepNext/>
      </w:pPr>
      <w:r>
        <w:rPr>
          <w:rFonts w:ascii="Arial" w:hAnsi="Arial"/>
          <w:b/>
          <w:color w:val="39523B"/>
          <w:sz w:val="26"/>
        </w:rPr>
        <w:t>6.1 Endpoint inventory</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1850"/>
        <w:gridCol w:w="850"/>
        <w:gridCol w:w="6660"/>
      </w:tblGrid>
      <w:tr>
        <w:trPr>
          <w:tblHeader w:val="true"/>
        </w:trPr>
        <w:tc>
          <w:tcPr>
            <w:tcW w:type="dxa" w:w="185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Use</w:t>
            </w:r>
          </w:p>
        </w:tc>
        <w:tc>
          <w:tcPr>
            <w:tcW w:type="dxa" w:w="85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Method</w:t>
            </w:r>
          </w:p>
        </w:tc>
        <w:tc>
          <w:tcPr>
            <w:tcW w:type="dxa" w:w="666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Configured endpoint pattern</w:t>
            </w:r>
          </w:p>
        </w:tc>
      </w:tr>
      <w:tr>
        <w:tc>
          <w:tcPr>
            <w:tcW w:type="dxa" w:w="1850"/>
            <w:tcMar>
              <w:top w:w="80" w:type="dxa"/>
              <w:bottom w:w="80" w:type="dxa"/>
              <w:start w:w="120" w:type="dxa"/>
              <w:end w:w="120" w:type="dxa"/>
            </w:tcMar>
            <w:vAlign w:val="center"/>
          </w:tcPr>
          <w:p>
            <w:pPr>
              <w:spacing w:before="0" w:after="0" w:line="259" w:lineRule="auto"/>
            </w:pPr>
            <w:r>
              <w:rPr>
                <w:rFonts w:ascii="Arial" w:hAnsi="Arial"/>
                <w:color w:val="191818"/>
                <w:sz w:val="16"/>
              </w:rPr>
              <w:t>Order/header/lines</w:t>
            </w:r>
          </w:p>
        </w:tc>
        <w:tc>
          <w:tcPr>
            <w:tcW w:type="dxa" w:w="850"/>
            <w:tcMar>
              <w:top w:w="80" w:type="dxa"/>
              <w:bottom w:w="80" w:type="dxa"/>
              <w:start w:w="120" w:type="dxa"/>
              <w:end w:w="120" w:type="dxa"/>
            </w:tcMar>
            <w:vAlign w:val="center"/>
          </w:tcPr>
          <w:p>
            <w:pPr>
              <w:spacing w:before="0" w:after="0" w:line="259" w:lineRule="auto"/>
            </w:pPr>
            <w:r>
              <w:rPr>
                <w:rFonts w:ascii="Arial" w:hAnsi="Arial"/>
                <w:color w:val="191818"/>
                <w:sz w:val="16"/>
              </w:rPr>
              <w:t>GET</w:t>
            </w:r>
          </w:p>
        </w:tc>
        <w:tc>
          <w:tcPr>
            <w:tcW w:type="dxa" w:w="6660"/>
            <w:tcMar>
              <w:top w:w="80" w:type="dxa"/>
              <w:bottom w:w="80" w:type="dxa"/>
              <w:start w:w="120" w:type="dxa"/>
              <w:end w:w="120" w:type="dxa"/>
            </w:tcMar>
            <w:vAlign w:val="center"/>
          </w:tcPr>
          <w:p>
            <w:pPr>
              <w:spacing w:before="0" w:after="0" w:line="259" w:lineRule="auto"/>
            </w:pPr>
            <w:r>
              <w:rPr>
                <w:rFonts w:ascii="Arial" w:hAnsi="Arial"/>
                <w:color w:val="191818"/>
                <w:sz w:val="16"/>
              </w:rPr>
              <w:t>admin.lifterp.com/.../91/AS360Orders/N?offset=0&amp;p0={orderNumber}</w:t>
            </w:r>
          </w:p>
        </w:tc>
      </w:tr>
      <w:tr>
        <w:tc>
          <w:tcPr>
            <w:tcW w:type="dxa" w:w="1850"/>
            <w:tcMar>
              <w:top w:w="80" w:type="dxa"/>
              <w:bottom w:w="80" w:type="dxa"/>
              <w:start w:w="120" w:type="dxa"/>
              <w:end w:w="120" w:type="dxa"/>
            </w:tcMar>
            <w:vAlign w:val="center"/>
          </w:tcPr>
          <w:p>
            <w:pPr>
              <w:spacing w:before="0" w:after="0" w:line="259" w:lineRule="auto"/>
            </w:pPr>
            <w:r>
              <w:rPr>
                <w:rFonts w:ascii="Arial" w:hAnsi="Arial"/>
                <w:color w:val="191818"/>
                <w:sz w:val="16"/>
              </w:rPr>
              <w:t>Proof attachments</w:t>
            </w:r>
          </w:p>
        </w:tc>
        <w:tc>
          <w:tcPr>
            <w:tcW w:type="dxa" w:w="850"/>
            <w:tcMar>
              <w:top w:w="80" w:type="dxa"/>
              <w:bottom w:w="80" w:type="dxa"/>
              <w:start w:w="120" w:type="dxa"/>
              <w:end w:w="120" w:type="dxa"/>
            </w:tcMar>
            <w:vAlign w:val="center"/>
          </w:tcPr>
          <w:p>
            <w:pPr>
              <w:spacing w:before="0" w:after="0" w:line="259" w:lineRule="auto"/>
            </w:pPr>
            <w:r>
              <w:rPr>
                <w:rFonts w:ascii="Arial" w:hAnsi="Arial"/>
                <w:color w:val="191818"/>
                <w:sz w:val="16"/>
              </w:rPr>
              <w:t>GET</w:t>
            </w:r>
          </w:p>
        </w:tc>
        <w:tc>
          <w:tcPr>
            <w:tcW w:type="dxa" w:w="6660"/>
            <w:tcMar>
              <w:top w:w="80" w:type="dxa"/>
              <w:bottom w:w="80" w:type="dxa"/>
              <w:start w:w="120" w:type="dxa"/>
              <w:end w:w="120" w:type="dxa"/>
            </w:tcMar>
            <w:vAlign w:val="center"/>
          </w:tcPr>
          <w:p>
            <w:pPr>
              <w:spacing w:before="0" w:after="0" w:line="259" w:lineRule="auto"/>
            </w:pPr>
            <w:r>
              <w:rPr>
                <w:rFonts w:ascii="Arial" w:hAnsi="Arial"/>
                <w:color w:val="191818"/>
                <w:sz w:val="16"/>
              </w:rPr>
              <w:t>admin.lifterp.com/.../91/AS360ProofReport/N?offset=0&amp;p1={orderNumber}&amp;p2={orderLineId}</w:t>
            </w:r>
          </w:p>
        </w:tc>
      </w:tr>
      <w:tr>
        <w:tc>
          <w:tcPr>
            <w:tcW w:type="dxa" w:w="1850"/>
            <w:tcMar>
              <w:top w:w="80" w:type="dxa"/>
              <w:bottom w:w="80" w:type="dxa"/>
              <w:start w:w="120" w:type="dxa"/>
              <w:end w:w="120" w:type="dxa"/>
            </w:tcMar>
            <w:vAlign w:val="center"/>
          </w:tcPr>
          <w:p>
            <w:pPr>
              <w:spacing w:before="0" w:after="0" w:line="259" w:lineRule="auto"/>
            </w:pPr>
            <w:r>
              <w:rPr>
                <w:rFonts w:ascii="Arial" w:hAnsi="Arial"/>
                <w:color w:val="191818"/>
                <w:sz w:val="16"/>
              </w:rPr>
              <w:t>Proof decision</w:t>
            </w:r>
          </w:p>
        </w:tc>
        <w:tc>
          <w:tcPr>
            <w:tcW w:type="dxa" w:w="850"/>
            <w:tcMar>
              <w:top w:w="80" w:type="dxa"/>
              <w:bottom w:w="80" w:type="dxa"/>
              <w:start w:w="120" w:type="dxa"/>
              <w:end w:w="120" w:type="dxa"/>
            </w:tcMar>
            <w:vAlign w:val="center"/>
          </w:tcPr>
          <w:p>
            <w:pPr>
              <w:spacing w:before="0" w:after="0" w:line="259" w:lineRule="auto"/>
            </w:pPr>
            <w:r>
              <w:rPr>
                <w:rFonts w:ascii="Arial" w:hAnsi="Arial"/>
                <w:color w:val="191818"/>
                <w:sz w:val="16"/>
              </w:rPr>
              <w:t>PUT</w:t>
            </w:r>
          </w:p>
        </w:tc>
        <w:tc>
          <w:tcPr>
            <w:tcW w:type="dxa" w:w="6660"/>
            <w:tcMar>
              <w:top w:w="80" w:type="dxa"/>
              <w:bottom w:w="80" w:type="dxa"/>
              <w:start w:w="120" w:type="dxa"/>
              <w:end w:w="120" w:type="dxa"/>
            </w:tcMar>
            <w:vAlign w:val="center"/>
          </w:tcPr>
          <w:p>
            <w:pPr>
              <w:spacing w:before="0" w:after="0" w:line="259" w:lineRule="auto"/>
            </w:pPr>
            <w:r>
              <w:rPr>
                <w:rFonts w:ascii="Arial" w:hAnsi="Arial"/>
                <w:color w:val="191818"/>
                <w:sz w:val="16"/>
              </w:rPr>
              <w:t>ltlco.lifterp.com/.../order-management/companies/91/proofing/{ATTACHMENT_ID}</w:t>
            </w:r>
          </w:p>
        </w:tc>
      </w:tr>
      <w:tr>
        <w:tc>
          <w:tcPr>
            <w:tcW w:type="dxa" w:w="1850"/>
            <w:tcMar>
              <w:top w:w="80" w:type="dxa"/>
              <w:bottom w:w="80" w:type="dxa"/>
              <w:start w:w="120" w:type="dxa"/>
              <w:end w:w="120" w:type="dxa"/>
            </w:tcMar>
            <w:vAlign w:val="center"/>
          </w:tcPr>
          <w:p>
            <w:pPr>
              <w:spacing w:before="0" w:after="0" w:line="259" w:lineRule="auto"/>
            </w:pPr>
            <w:r>
              <w:rPr>
                <w:rFonts w:ascii="Arial" w:hAnsi="Arial"/>
                <w:color w:val="191818"/>
                <w:sz w:val="16"/>
              </w:rPr>
              <w:t>Order deep link</w:t>
            </w:r>
          </w:p>
        </w:tc>
        <w:tc>
          <w:tcPr>
            <w:tcW w:type="dxa" w:w="850"/>
            <w:tcMar>
              <w:top w:w="80" w:type="dxa"/>
              <w:bottom w:w="80" w:type="dxa"/>
              <w:start w:w="120" w:type="dxa"/>
              <w:end w:w="120" w:type="dxa"/>
            </w:tcMar>
            <w:vAlign w:val="center"/>
          </w:tcPr>
          <w:p>
            <w:pPr>
              <w:spacing w:before="0" w:after="0" w:line="259" w:lineRule="auto"/>
            </w:pPr>
            <w:r>
              <w:rPr>
                <w:rFonts w:ascii="Arial" w:hAnsi="Arial"/>
                <w:color w:val="191818"/>
                <w:sz w:val="16"/>
              </w:rPr>
              <w:t>GET</w:t>
            </w:r>
          </w:p>
        </w:tc>
        <w:tc>
          <w:tcPr>
            <w:tcW w:type="dxa" w:w="6660"/>
            <w:tcMar>
              <w:top w:w="80" w:type="dxa"/>
              <w:bottom w:w="80" w:type="dxa"/>
              <w:start w:w="120" w:type="dxa"/>
              <w:end w:w="120" w:type="dxa"/>
            </w:tcMar>
            <w:vAlign w:val="center"/>
          </w:tcPr>
          <w:p>
            <w:pPr>
              <w:spacing w:before="0" w:after="0" w:line="259" w:lineRule="auto"/>
            </w:pPr>
            <w:r>
              <w:rPr>
                <w:rFonts w:ascii="Arial" w:hAnsi="Arial"/>
                <w:color w:val="191818"/>
                <w:sz w:val="16"/>
              </w:rPr>
              <w:t>ltlco.lifterp.com/.../91/order_url/order_url?offset=0&amp;p0={orderNumber}</w:t>
            </w:r>
          </w:p>
        </w:tc>
      </w:tr>
      <w:tr>
        <w:tc>
          <w:tcPr>
            <w:tcW w:type="dxa" w:w="1850"/>
            <w:tcMar>
              <w:top w:w="80" w:type="dxa"/>
              <w:bottom w:w="80" w:type="dxa"/>
              <w:start w:w="120" w:type="dxa"/>
              <w:end w:w="120" w:type="dxa"/>
            </w:tcMar>
            <w:vAlign w:val="center"/>
          </w:tcPr>
          <w:p>
            <w:pPr>
              <w:spacing w:before="0" w:after="0" w:line="259" w:lineRule="auto"/>
            </w:pPr>
            <w:r>
              <w:rPr>
                <w:rFonts w:ascii="Arial" w:hAnsi="Arial"/>
                <w:color w:val="191818"/>
                <w:sz w:val="16"/>
              </w:rPr>
              <w:t>Shipping (optional elsewhere)</w:t>
            </w:r>
          </w:p>
        </w:tc>
        <w:tc>
          <w:tcPr>
            <w:tcW w:type="dxa" w:w="850"/>
            <w:tcMar>
              <w:top w:w="80" w:type="dxa"/>
              <w:bottom w:w="80" w:type="dxa"/>
              <w:start w:w="120" w:type="dxa"/>
              <w:end w:w="120" w:type="dxa"/>
            </w:tcMar>
            <w:vAlign w:val="center"/>
          </w:tcPr>
          <w:p>
            <w:pPr>
              <w:spacing w:before="0" w:after="0" w:line="259" w:lineRule="auto"/>
            </w:pPr>
            <w:r>
              <w:rPr>
                <w:rFonts w:ascii="Arial" w:hAnsi="Arial"/>
                <w:color w:val="191818"/>
                <w:sz w:val="16"/>
              </w:rPr>
              <w:t>GET</w:t>
            </w:r>
          </w:p>
        </w:tc>
        <w:tc>
          <w:tcPr>
            <w:tcW w:type="dxa" w:w="6660"/>
            <w:tcMar>
              <w:top w:w="80" w:type="dxa"/>
              <w:bottom w:w="80" w:type="dxa"/>
              <w:start w:w="120" w:type="dxa"/>
              <w:end w:w="120" w:type="dxa"/>
            </w:tcMar>
            <w:vAlign w:val="center"/>
          </w:tcPr>
          <w:p>
            <w:pPr>
              <w:spacing w:before="0" w:after="0" w:line="259" w:lineRule="auto"/>
            </w:pPr>
            <w:r>
              <w:rPr>
                <w:rFonts w:ascii="Arial" w:hAnsi="Arial"/>
                <w:color w:val="191818"/>
                <w:sz w:val="16"/>
              </w:rPr>
              <w:t>Existing Pathfinder PackageDetails/ShippingReport adapters; read-only and outside Proof v1.</w:t>
            </w:r>
          </w:p>
        </w:tc>
      </w:tr>
    </w:tbl>
    <w:p>
      <w:pPr>
        <w:spacing w:after="60"/>
      </w:pPr>
    </w:p>
    <w:p>
      <w:pPr>
        <w:spacing w:before="80" w:after="200" w:line="264" w:lineRule="auto"/>
        <w:ind w:left="115" w:right="115"/>
        <w:shd w:fill="FFF8EB"/>
        <w:pBdr>
          <w:left w:val="single" w:sz="18" w:space="8" w:color="A87921"/>
        </w:pBdr>
      </w:pPr>
      <w:r>
        <w:rPr>
          <w:rFonts w:ascii="Arial" w:hAnsi="Arial"/>
          <w:b/>
          <w:color w:val="A87921"/>
          <w:sz w:val="19"/>
        </w:rPr>
        <w:t xml:space="preserve">CONFIGURATION RULE  </w:t>
      </w:r>
      <w:r>
        <w:rPr>
          <w:rFonts w:ascii="Arial" w:hAnsi="Arial"/>
          <w:color w:val="191818"/>
          <w:sz w:val="21"/>
        </w:rPr>
        <w:t>Keep report-read and decision-write hosts independently configurable. AS360Orders and AS360ProofReport reads currently require no custom headers or Basic Auth. Store write credentials and company configuration below /vornan/pathfinder/integrations/lift-proof/{stage} in Secrets Manager. QA currently uses a different endpoint but shares credentials with production; require an isolated QA endpoint lifecycle before Vornan Proof write implementation and track dedicated QA credentials as a hardening action. Do not call Adspace APIs or tables at runtime.</w:t>
      </w:r>
    </w:p>
    <w:p>
      <w:pPr>
        <w:pStyle w:val="Heading2"/>
        <w:keepNext/>
      </w:pPr>
      <w:r>
        <w:rPr>
          <w:rFonts w:ascii="Arial" w:hAnsi="Arial"/>
          <w:b/>
          <w:color w:val="39523B"/>
          <w:sz w:val="26"/>
        </w:rPr>
        <w:t>6.2 Read and normalization sequence</w:t>
      </w:r>
    </w:p>
    <w:p>
      <w:pPr>
        <w:pStyle w:val="VornanNumber"/>
        <w:numPr>
          <w:ilvl w:val="0"/>
          <w:numId w:val="12"/>
        </w:numPr>
        <w:spacing w:after="160" w:line="280" w:lineRule="auto"/>
        <w:ind w:left="720" w:hanging="360"/>
      </w:pPr>
      <w:r>
        <w:rPr>
          <w:rFonts w:ascii="Arial" w:hAnsi="Arial"/>
          <w:color w:val="191818"/>
          <w:sz w:val="21"/>
        </w:rPr>
        <w:t>Validate ^A\d{7,8}$ after trimming and uppercasing; confirm final Lift order format before release.</w:t>
      </w:r>
    </w:p>
    <w:p>
      <w:pPr>
        <w:pStyle w:val="VornanNumber"/>
        <w:numPr>
          <w:ilvl w:val="0"/>
          <w:numId w:val="12"/>
        </w:numPr>
        <w:spacing w:after="160" w:line="280" w:lineRule="auto"/>
        <w:ind w:left="720" w:hanging="360"/>
      </w:pPr>
      <w:r>
        <w:rPr>
          <w:rFonts w:ascii="Arial" w:hAnsi="Arial"/>
          <w:color w:val="191818"/>
          <w:sz w:val="21"/>
        </w:rPr>
        <w:t>Fetch AS360Orders with p0 and derive order health without destructive cleanup.</w:t>
      </w:r>
    </w:p>
    <w:p>
      <w:pPr>
        <w:pStyle w:val="VornanNumber"/>
        <w:numPr>
          <w:ilvl w:val="0"/>
          <w:numId w:val="12"/>
        </w:numPr>
        <w:spacing w:after="160" w:line="280" w:lineRule="auto"/>
        <w:ind w:left="720" w:hanging="360"/>
      </w:pPr>
      <w:r>
        <w:rPr>
          <w:rFonts w:ascii="Arial" w:hAnsi="Arial"/>
          <w:color w:val="191818"/>
          <w:sz w:val="21"/>
        </w:rPr>
        <w:t>Filter cancelled lines; preserve prior histories and customer uploads.</w:t>
      </w:r>
    </w:p>
    <w:p>
      <w:pPr>
        <w:pStyle w:val="VornanNumber"/>
        <w:numPr>
          <w:ilvl w:val="0"/>
          <w:numId w:val="12"/>
        </w:numPr>
        <w:spacing w:after="160" w:line="280" w:lineRule="auto"/>
        <w:ind w:left="720" w:hanging="360"/>
      </w:pPr>
      <w:r>
        <w:rPr>
          <w:rFonts w:ascii="Arial" w:hAnsi="Arial"/>
          <w:color w:val="191818"/>
          <w:sz w:val="21"/>
        </w:rPr>
        <w:t>For lines at or beyond the proof-readable step with ORDER_LINE_ID, fetch AS360ProofReport line-scoped with concurrency 5.</w:t>
      </w:r>
    </w:p>
    <w:p>
      <w:pPr>
        <w:pStyle w:val="VornanNumber"/>
        <w:numPr>
          <w:ilvl w:val="0"/>
          <w:numId w:val="12"/>
        </w:numPr>
        <w:spacing w:after="160" w:line="280" w:lineRule="auto"/>
        <w:ind w:left="720" w:hanging="360"/>
      </w:pPr>
      <w:r>
        <w:rPr>
          <w:rFonts w:ascii="Arial" w:hAnsi="Arial"/>
          <w:color w:val="191818"/>
          <w:sz w:val="21"/>
        </w:rPr>
        <w:t>Use one order-scoped p2 blank fallback only when line reads fail without usable rows.</w:t>
      </w:r>
    </w:p>
    <w:p>
      <w:pPr>
        <w:pStyle w:val="VornanNumber"/>
        <w:numPr>
          <w:ilvl w:val="0"/>
          <w:numId w:val="12"/>
        </w:numPr>
        <w:spacing w:after="160" w:line="280" w:lineRule="auto"/>
        <w:ind w:left="720" w:hanging="360"/>
      </w:pPr>
      <w:r>
        <w:rPr>
          <w:rFonts w:ascii="Arial" w:hAnsi="Arial"/>
          <w:color w:val="191818"/>
          <w:sz w:val="21"/>
        </w:rPr>
        <w:t>Group repeated rows by ATTACHMENT_ID; each grouped attachment becomes one task and one feedback thread.</w:t>
      </w:r>
    </w:p>
    <w:p>
      <w:pPr>
        <w:pStyle w:val="VornanNumber"/>
        <w:numPr>
          <w:ilvl w:val="0"/>
          <w:numId w:val="12"/>
        </w:numPr>
        <w:spacing w:after="160" w:line="280" w:lineRule="auto"/>
        <w:ind w:left="720" w:hanging="360"/>
      </w:pPr>
      <w:r>
        <w:rPr>
          <w:rFonts w:ascii="Arial" w:hAnsi="Arial"/>
          <w:color w:val="191818"/>
          <w:sz w:val="21"/>
        </w:rPr>
        <w:t>Join to line context by ORDER_LINE_ID first, LINE_NUMBER only as compatibility fallback, and emit a warning when fallback is used.</w:t>
      </w:r>
    </w:p>
    <w:p>
      <w:pPr>
        <w:pStyle w:val="VornanNumber"/>
        <w:numPr>
          <w:ilvl w:val="0"/>
          <w:numId w:val="12"/>
        </w:numPr>
        <w:spacing w:after="160" w:line="280" w:lineRule="auto"/>
        <w:ind w:left="720" w:hanging="360"/>
      </w:pPr>
      <w:r>
        <w:rPr>
          <w:rFonts w:ascii="Arial" w:hAnsi="Arial"/>
          <w:color w:val="191818"/>
          <w:sz w:val="21"/>
        </w:rPr>
        <w:t>Apply explicit URL, filename, status, feedback, approved-by/date and technical-report precedence.</w:t>
      </w:r>
    </w:p>
    <w:p>
      <w:pPr>
        <w:pStyle w:val="VornanNumber"/>
        <w:numPr>
          <w:ilvl w:val="0"/>
          <w:numId w:val="12"/>
        </w:numPr>
        <w:spacing w:after="160" w:line="280" w:lineRule="auto"/>
        <w:ind w:left="720" w:hanging="360"/>
      </w:pPr>
      <w:r>
        <w:rPr>
          <w:rFonts w:ascii="Arial" w:hAnsi="Arial"/>
          <w:color w:val="191818"/>
          <w:sz w:val="21"/>
        </w:rPr>
        <w:t>Merge without changing task version/timestamps on a no-op sync; archive disappeared/replaced attachments before removing them from the active queue.</w:t>
      </w:r>
    </w:p>
    <w:p>
      <w:pPr>
        <w:pStyle w:val="Heading2"/>
        <w:keepNext/>
      </w:pPr>
      <w:r>
        <w:rPr>
          <w:rFonts w:ascii="Arial" w:hAnsi="Arial"/>
          <w:b/>
          <w:color w:val="39523B"/>
          <w:sz w:val="26"/>
        </w:rPr>
        <w:t>6.3 State model</w:t>
      </w:r>
    </w:p>
    <w:p>
      <w:r>
        <w:drawing>
          <wp:inline xmlns:a="http://schemas.openxmlformats.org/drawingml/2006/main" xmlns:pic="http://schemas.openxmlformats.org/drawingml/2006/picture">
            <wp:extent cx="5925312" cy="2040941"/>
            <wp:docPr id="3" name="Picture 3" title="Customer-visible proof task state" descr="State diagram showing waiting, pending, approved, and reference states, plus a revision-submitted transition that returns a task to waiting until Lift regenerates the proof. Cancelled or missing tasks cannot be written, changed feedback resets acknowledgement, and local actions never outrank Lift state."/>
            <wp:cNvGraphicFramePr>
              <a:graphicFrameLocks noChangeAspect="1"/>
            </wp:cNvGraphicFramePr>
            <a:graphic>
              <a:graphicData uri="http://schemas.openxmlformats.org/drawingml/2006/picture">
                <pic:pic>
                  <pic:nvPicPr>
                    <pic:cNvPr id="0" name="vornan-proof-state-model.png"/>
                    <pic:cNvPicPr/>
                  </pic:nvPicPr>
                  <pic:blipFill>
                    <a:blip r:embed="rId13"/>
                    <a:stretch>
                      <a:fillRect/>
                    </a:stretch>
                  </pic:blipFill>
                  <pic:spPr>
                    <a:xfrm>
                      <a:off x="0" y="0"/>
                      <a:ext cx="5925312" cy="2040941"/>
                    </a:xfrm>
                    <a:prstGeom prst="rect"/>
                  </pic:spPr>
                </pic:pic>
              </a:graphicData>
            </a:graphic>
          </wp:inline>
        </w:drawing>
      </w:r>
    </w:p>
    <w:p>
      <w:pPr>
        <w:spacing w:before="0" w:after="200" w:line="264" w:lineRule="auto"/>
        <w:jc w:val="center"/>
      </w:pPr>
      <w:r>
        <w:rPr>
          <w:rFonts w:ascii="Arial" w:hAnsi="Arial"/>
          <w:b w:val="0"/>
          <w:i/>
          <w:color w:val="768070"/>
          <w:sz w:val="18"/>
        </w:rPr>
        <w:t>Figure 2. Stable task state is Lift-derived; local writes are transitional until confirmed.</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3300"/>
        <w:gridCol w:w="1800"/>
        <w:gridCol w:w="4260"/>
      </w:tblGrid>
      <w:tr>
        <w:trPr>
          <w:tblHeader w:val="true"/>
        </w:trPr>
        <w:tc>
          <w:tcPr>
            <w:tcW w:type="dxa" w:w="3300"/>
            <w:shd w:fill="EEF3EB"/>
            <w:tcMar>
              <w:top w:w="80" w:type="dxa"/>
              <w:bottom w:w="80" w:type="dxa"/>
              <w:start w:w="120" w:type="dxa"/>
              <w:end w:w="120" w:type="dxa"/>
            </w:tcMar>
            <w:vAlign w:val="center"/>
          </w:tcPr>
          <w:p>
            <w:pPr>
              <w:spacing w:before="0" w:after="0" w:line="259" w:lineRule="auto"/>
            </w:pPr>
            <w:r>
              <w:rPr>
                <w:rFonts w:ascii="Arial" w:hAnsi="Arial"/>
                <w:b/>
                <w:color w:val="39523B"/>
                <w:sz w:val="17"/>
              </w:rPr>
              <w:t>Lift condition</w:t>
            </w:r>
          </w:p>
        </w:tc>
        <w:tc>
          <w:tcPr>
            <w:tcW w:type="dxa" w:w="1800"/>
            <w:shd w:fill="EEF3EB"/>
            <w:tcMar>
              <w:top w:w="80" w:type="dxa"/>
              <w:bottom w:w="80" w:type="dxa"/>
              <w:start w:w="120" w:type="dxa"/>
              <w:end w:w="120" w:type="dxa"/>
            </w:tcMar>
            <w:vAlign w:val="center"/>
          </w:tcPr>
          <w:p>
            <w:pPr>
              <w:spacing w:before="0" w:after="0" w:line="259" w:lineRule="auto"/>
            </w:pPr>
            <w:r>
              <w:rPr>
                <w:rFonts w:ascii="Arial" w:hAnsi="Arial"/>
                <w:b/>
                <w:color w:val="39523B"/>
                <w:sz w:val="17"/>
              </w:rPr>
              <w:t>Normalized state</w:t>
            </w:r>
          </w:p>
        </w:tc>
        <w:tc>
          <w:tcPr>
            <w:tcW w:type="dxa" w:w="4260"/>
            <w:shd w:fill="EEF3EB"/>
            <w:tcMar>
              <w:top w:w="80" w:type="dxa"/>
              <w:bottom w:w="80" w:type="dxa"/>
              <w:start w:w="120" w:type="dxa"/>
              <w:end w:w="120" w:type="dxa"/>
            </w:tcMar>
            <w:vAlign w:val="center"/>
          </w:tcPr>
          <w:p>
            <w:pPr>
              <w:spacing w:before="0" w:after="0" w:line="259" w:lineRule="auto"/>
            </w:pPr>
            <w:r>
              <w:rPr>
                <w:rFonts w:ascii="Arial" w:hAnsi="Arial"/>
                <w:b/>
                <w:color w:val="39523B"/>
                <w:sz w:val="17"/>
              </w:rPr>
              <w:t>Customer behavior</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7"/>
              </w:rPr>
              <w:t>No proof asset or line before review step</w:t>
            </w:r>
          </w:p>
        </w:tc>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7"/>
              </w:rPr>
              <w:t>waiting</w:t>
            </w:r>
          </w:p>
        </w:tc>
        <w:tc>
          <w:tcPr>
            <w:tcW w:type="dxa" w:w="4260"/>
            <w:tcMar>
              <w:top w:w="80" w:type="dxa"/>
              <w:bottom w:w="80" w:type="dxa"/>
              <w:start w:w="120" w:type="dxa"/>
              <w:end w:w="120" w:type="dxa"/>
            </w:tcMar>
            <w:vAlign w:val="center"/>
          </w:tcPr>
          <w:p>
            <w:pPr>
              <w:spacing w:before="0" w:after="0" w:line="259" w:lineRule="auto"/>
            </w:pPr>
            <w:r>
              <w:rPr>
                <w:rFonts w:ascii="Arial" w:hAnsi="Arial"/>
                <w:color w:val="191818"/>
                <w:sz w:val="17"/>
              </w:rPr>
              <w:t>View context; no decision.</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7"/>
              </w:rPr>
              <w:t>Review step, proof URL present, not approved</w:t>
            </w:r>
          </w:p>
        </w:tc>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7"/>
              </w:rPr>
              <w:t>pending</w:t>
            </w:r>
          </w:p>
        </w:tc>
        <w:tc>
          <w:tcPr>
            <w:tcW w:type="dxa" w:w="4260"/>
            <w:tcMar>
              <w:top w:w="80" w:type="dxa"/>
              <w:bottom w:w="80" w:type="dxa"/>
              <w:start w:w="120" w:type="dxa"/>
              <w:end w:w="120" w:type="dxa"/>
            </w:tcMar>
            <w:vAlign w:val="center"/>
          </w:tcPr>
          <w:p>
            <w:pPr>
              <w:spacing w:before="0" w:after="0" w:line="259" w:lineRule="auto"/>
            </w:pPr>
            <w:r>
              <w:rPr>
                <w:rFonts w:ascii="Arial" w:hAnsi="Arial"/>
                <w:color w:val="191818"/>
                <w:sz w:val="17"/>
              </w:rPr>
              <w:t>Feedback gate then approve/revise.</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7"/>
              </w:rPr>
              <w:t>Review step, status APPROVED</w:t>
            </w:r>
          </w:p>
        </w:tc>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7"/>
              </w:rPr>
              <w:t>approved</w:t>
            </w:r>
          </w:p>
        </w:tc>
        <w:tc>
          <w:tcPr>
            <w:tcW w:type="dxa" w:w="4260"/>
            <w:tcMar>
              <w:top w:w="80" w:type="dxa"/>
              <w:bottom w:w="80" w:type="dxa"/>
              <w:start w:w="120" w:type="dxa"/>
              <w:end w:w="120" w:type="dxa"/>
            </w:tcMar>
            <w:vAlign w:val="center"/>
          </w:tcPr>
          <w:p>
            <w:pPr>
              <w:spacing w:before="0" w:after="0" w:line="259" w:lineRule="auto"/>
            </w:pPr>
            <w:r>
              <w:rPr>
                <w:rFonts w:ascii="Arial" w:hAnsi="Arial"/>
                <w:color w:val="191818"/>
                <w:sz w:val="17"/>
              </w:rPr>
              <w:t>Read-only success; undo only if explicitly enabled.</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7"/>
              </w:rPr>
              <w:t>Revision successfully sent</w:t>
            </w:r>
          </w:p>
        </w:tc>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7"/>
              </w:rPr>
              <w:t>waiting + revised cycle</w:t>
            </w:r>
          </w:p>
        </w:tc>
        <w:tc>
          <w:tcPr>
            <w:tcW w:type="dxa" w:w="4260"/>
            <w:tcMar>
              <w:top w:w="80" w:type="dxa"/>
              <w:bottom w:w="80" w:type="dxa"/>
              <w:start w:w="120" w:type="dxa"/>
              <w:end w:w="120" w:type="dxa"/>
            </w:tcMar>
            <w:vAlign w:val="center"/>
          </w:tcPr>
          <w:p>
            <w:pPr>
              <w:spacing w:before="0" w:after="0" w:line="259" w:lineRule="auto"/>
            </w:pPr>
            <w:r>
              <w:rPr>
                <w:rFonts w:ascii="Arial" w:hAnsi="Arial"/>
                <w:color w:val="191818"/>
                <w:sz w:val="17"/>
              </w:rPr>
              <w:t>Old proof removed from action; upload retained; wait for regenerated proof.</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7"/>
              </w:rPr>
              <w:t>Line beyond review / production</w:t>
            </w:r>
          </w:p>
        </w:tc>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7"/>
              </w:rPr>
              <w:t>reference</w:t>
            </w:r>
          </w:p>
        </w:tc>
        <w:tc>
          <w:tcPr>
            <w:tcW w:type="dxa" w:w="4260"/>
            <w:tcMar>
              <w:top w:w="80" w:type="dxa"/>
              <w:bottom w:w="80" w:type="dxa"/>
              <w:start w:w="120" w:type="dxa"/>
              <w:end w:w="120" w:type="dxa"/>
            </w:tcMar>
            <w:vAlign w:val="center"/>
          </w:tcPr>
          <w:p>
            <w:pPr>
              <w:spacing w:before="0" w:after="0" w:line="259" w:lineRule="auto"/>
            </w:pPr>
            <w:r>
              <w:rPr>
                <w:rFonts w:ascii="Arial" w:hAnsi="Arial"/>
                <w:color w:val="191818"/>
                <w:sz w:val="17"/>
              </w:rPr>
              <w:t>Proof packet visible; no stale decisions.</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7"/>
              </w:rPr>
              <w:t>Line cancelled</w:t>
            </w:r>
          </w:p>
        </w:tc>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7"/>
              </w:rPr>
              <w:t>cancelled/history</w:t>
            </w:r>
          </w:p>
        </w:tc>
        <w:tc>
          <w:tcPr>
            <w:tcW w:type="dxa" w:w="4260"/>
            <w:tcMar>
              <w:top w:w="80" w:type="dxa"/>
              <w:bottom w:w="80" w:type="dxa"/>
              <w:start w:w="120" w:type="dxa"/>
              <w:end w:w="120" w:type="dxa"/>
            </w:tcMar>
            <w:vAlign w:val="center"/>
          </w:tcPr>
          <w:p>
            <w:pPr>
              <w:spacing w:before="0" w:after="0" w:line="259" w:lineRule="auto"/>
            </w:pPr>
            <w:r>
              <w:rPr>
                <w:rFonts w:ascii="Arial" w:hAnsi="Arial"/>
                <w:color w:val="191818"/>
                <w:sz w:val="17"/>
              </w:rPr>
              <w:t>Hidden from active queue; preserved for operators.</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7"/>
              </w:rPr>
              <w:t>Previously valid order absent</w:t>
            </w:r>
          </w:p>
        </w:tc>
        <w:tc>
          <w:tcPr>
            <w:tcW w:type="dxa" w:w="1800"/>
            <w:tcMar>
              <w:top w:w="80" w:type="dxa"/>
              <w:bottom w:w="80" w:type="dxa"/>
              <w:start w:w="120" w:type="dxa"/>
              <w:end w:w="120" w:type="dxa"/>
            </w:tcMar>
            <w:vAlign w:val="center"/>
          </w:tcPr>
          <w:p>
            <w:pPr>
              <w:spacing w:before="0" w:after="0" w:line="259" w:lineRule="auto"/>
            </w:pPr>
            <w:r>
              <w:rPr>
                <w:rFonts w:ascii="Arial" w:hAnsi="Arial"/>
                <w:color w:val="191818"/>
                <w:sz w:val="17"/>
              </w:rPr>
              <w:t>missing/hold</w:t>
            </w:r>
          </w:p>
        </w:tc>
        <w:tc>
          <w:tcPr>
            <w:tcW w:type="dxa" w:w="4260"/>
            <w:tcMar>
              <w:top w:w="80" w:type="dxa"/>
              <w:bottom w:w="80" w:type="dxa"/>
              <w:start w:w="120" w:type="dxa"/>
              <w:end w:w="120" w:type="dxa"/>
            </w:tcMar>
            <w:vAlign w:val="center"/>
          </w:tcPr>
          <w:p>
            <w:pPr>
              <w:spacing w:before="0" w:after="0" w:line="259" w:lineRule="auto"/>
            </w:pPr>
            <w:r>
              <w:rPr>
                <w:rFonts w:ascii="Arial" w:hAnsi="Arial"/>
                <w:color w:val="191818"/>
                <w:sz w:val="17"/>
              </w:rPr>
              <w:t>No writes; cached history retained; operator alerted.</w:t>
            </w:r>
          </w:p>
        </w:tc>
      </w:tr>
    </w:tbl>
    <w:p>
      <w:pPr>
        <w:spacing w:after="60"/>
      </w:pPr>
    </w:p>
    <w:p>
      <w:pPr>
        <w:pStyle w:val="Heading2"/>
        <w:keepNext/>
      </w:pPr>
      <w:r>
        <w:rPr>
          <w:rFonts w:ascii="Arial" w:hAnsi="Arial"/>
          <w:b/>
          <w:color w:val="39523B"/>
          <w:sz w:val="26"/>
        </w:rPr>
        <w:t>6.4 Decision writes and reconciliation</w:t>
      </w:r>
    </w:p>
    <w:p>
      <w:pPr>
        <w:spacing w:before="0" w:after="120" w:line="264" w:lineRule="auto"/>
      </w:pPr>
      <w:r>
        <w:rPr>
          <w:rFonts w:ascii="Arial" w:hAnsi="Arial"/>
          <w:b w:val="0"/>
          <w:i w:val="0"/>
          <w:color w:val="191818"/>
          <w:sz w:val="22"/>
        </w:rPr>
        <w:t>The decision URL must use ATTACHMENT_ID, never taskId, ORDER_LINE_ID, or line number. The adapter creates a short-lived HS256 JWT with the verified issuer/audience contract, adds Lift-ERP-Client-Id, and sends vendor-neutral Vornan integration identity in the body.</w:t>
      </w:r>
    </w:p>
    <w:p>
      <w:pPr>
        <w:spacing w:before="80" w:after="160" w:line="240" w:lineRule="auto"/>
        <w:ind w:left="259" w:right="259"/>
        <w:shd w:fill="F4F5F2"/>
      </w:pPr>
      <w:r>
        <w:rPr>
          <w:rFonts w:ascii="Menlo" w:hAnsi="Menlo"/>
          <w:color w:val="191818"/>
          <w:sz w:val="17"/>
        </w:rPr>
        <w:t>Approve</w:t>
        <w:br/>
      </w:r>
      <w:r>
        <w:rPr>
          <w:rFonts w:ascii="Menlo" w:hAnsi="Menlo"/>
          <w:color w:val="191818"/>
          <w:sz w:val="17"/>
        </w:rPr>
        <w:t>{ approve: true, approveQuantity: 1, comment, userName: "VORNAN_PROOF" }</w:t>
        <w:br/>
      </w:r>
      <w:r>
        <w:rPr>
          <w:rFonts w:ascii="Menlo" w:hAnsi="Menlo"/>
          <w:color w:val="191818"/>
          <w:sz w:val="17"/>
        </w:rPr>
        <w:br/>
      </w:r>
      <w:r>
        <w:rPr>
          <w:rFonts w:ascii="Menlo" w:hAnsi="Menlo"/>
          <w:color w:val="191818"/>
          <w:sz w:val="17"/>
        </w:rPr>
        <w:t>Revision</w:t>
        <w:br/>
      </w:r>
      <w:r>
        <w:rPr>
          <w:rFonts w:ascii="Menlo" w:hAnsi="Menlo"/>
          <w:color w:val="191818"/>
          <w:sz w:val="17"/>
        </w:rPr>
        <w:t>{ approve: false, comment, userName: "VORNAN_PROOF",</w:t>
        <w:br/>
      </w:r>
      <w:r>
        <w:rPr>
          <w:rFonts w:ascii="Menlo" w:hAnsi="Menlo"/>
          <w:color w:val="191818"/>
          <w:sz w:val="17"/>
        </w:rPr>
        <w:t xml:space="preserve">  rejectReason: "REVISED_ART_WILL_BE_SENT", artUrl, artMimeType, upload: true }</w:t>
        <w:br/>
      </w:r>
    </w:p>
    <w:p>
      <w:pPr>
        <w:spacing w:before="0" w:after="120" w:line="264" w:lineRule="auto"/>
      </w:pPr>
      <w:r>
        <w:rPr>
          <w:rFonts w:ascii="Arial" w:hAnsi="Arial"/>
          <w:b w:val="0"/>
          <w:i w:val="0"/>
          <w:color w:val="191818"/>
          <w:sz w:val="22"/>
        </w:rPr>
        <w:t>If a network failure occurs after a write may have been transmitted, do not replay blindly. Queue reconciliation, re-read the target attachment, compare the expected outcome, and retry only if Lift clearly did not apply the write. A 404 target becomes 409 proof_attachment_stale after refresh. Authentication/schema drift pages an operator rather than rapidly retrying.</w:t>
      </w:r>
    </w:p>
    <w:p>
      <w:pPr>
        <w:pStyle w:val="Heading1"/>
        <w:keepNext/>
      </w:pPr>
      <w:r>
        <w:rPr>
          <w:rFonts w:ascii="Arial" w:hAnsi="Arial"/>
          <w:b/>
          <w:color w:val="39523B"/>
          <w:sz w:val="32"/>
        </w:rPr>
        <w:t>7. Tokenized access and session security</w:t>
      </w:r>
    </w:p>
    <w:p>
      <w:pPr>
        <w:pStyle w:val="Heading2"/>
        <w:keepNext/>
      </w:pPr>
      <w:r>
        <w:rPr>
          <w:rFonts w:ascii="Arial" w:hAnsi="Arial"/>
          <w:b/>
          <w:color w:val="39523B"/>
          <w:sz w:val="26"/>
        </w:rPr>
        <w:t>7.1 Recommended route model</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3800"/>
        <w:gridCol w:w="5560"/>
      </w:tblGrid>
      <w:tr>
        <w:trPr>
          <w:tblHeader w:val="true"/>
        </w:trPr>
        <w:tc>
          <w:tcPr>
            <w:tcW w:type="dxa" w:w="38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Route</w:t>
            </w:r>
          </w:p>
        </w:tc>
        <w:tc>
          <w:tcPr>
            <w:tcW w:type="dxa" w:w="55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Purpose</w:t>
            </w:r>
          </w:p>
        </w:tc>
      </w:tr>
      <w:tr>
        <w:tc>
          <w:tcPr>
            <w:tcW w:type="dxa" w:w="3800"/>
            <w:tcMar>
              <w:top w:w="80" w:type="dxa"/>
              <w:bottom w:w="80" w:type="dxa"/>
              <w:start w:w="120" w:type="dxa"/>
              <w:end w:w="120" w:type="dxa"/>
            </w:tcMar>
            <w:vAlign w:val="center"/>
          </w:tcPr>
          <w:p>
            <w:pPr>
              <w:spacing w:before="0" w:after="0" w:line="259" w:lineRule="auto"/>
            </w:pPr>
            <w:r>
              <w:rPr>
                <w:rFonts w:ascii="Arial" w:hAnsi="Arial"/>
                <w:color w:val="191818"/>
                <w:sz w:val="18"/>
              </w:rPr>
              <w:t>https://proof.vornan.co/#/access/{rawToken}</w:t>
            </w:r>
          </w:p>
        </w:tc>
        <w:tc>
          <w:tcPr>
            <w:tcW w:type="dxa" w:w="5560"/>
            <w:tcMar>
              <w:top w:w="80" w:type="dxa"/>
              <w:bottom w:w="80" w:type="dxa"/>
              <w:start w:w="120" w:type="dxa"/>
              <w:end w:w="120" w:type="dxa"/>
            </w:tcMar>
            <w:vAlign w:val="center"/>
          </w:tcPr>
          <w:p>
            <w:pPr>
              <w:spacing w:before="0" w:after="0" w:line="259" w:lineRule="auto"/>
            </w:pPr>
            <w:r>
              <w:rPr>
                <w:rFonts w:ascii="Arial" w:hAnsi="Arial"/>
                <w:color w:val="191818"/>
                <w:sz w:val="18"/>
              </w:rPr>
              <w:t>Initial grant delivery. Fragment is not sent in the HTTP request or Referer.</w:t>
            </w:r>
          </w:p>
        </w:tc>
      </w:tr>
      <w:tr>
        <w:tc>
          <w:tcPr>
            <w:tcW w:type="dxa" w:w="3800"/>
            <w:tcMar>
              <w:top w:w="80" w:type="dxa"/>
              <w:bottom w:w="80" w:type="dxa"/>
              <w:start w:w="120" w:type="dxa"/>
              <w:end w:w="120" w:type="dxa"/>
            </w:tcMar>
            <w:vAlign w:val="center"/>
          </w:tcPr>
          <w:p>
            <w:pPr>
              <w:spacing w:before="0" w:after="0" w:line="259" w:lineRule="auto"/>
            </w:pPr>
            <w:r>
              <w:rPr>
                <w:rFonts w:ascii="Arial" w:hAnsi="Arial"/>
                <w:color w:val="191818"/>
                <w:sz w:val="18"/>
              </w:rPr>
              <w:t>POST /api/public/proof/sessions</w:t>
            </w:r>
          </w:p>
        </w:tc>
        <w:tc>
          <w:tcPr>
            <w:tcW w:type="dxa" w:w="5560"/>
            <w:tcMar>
              <w:top w:w="80" w:type="dxa"/>
              <w:bottom w:w="80" w:type="dxa"/>
              <w:start w:w="120" w:type="dxa"/>
              <w:end w:w="120" w:type="dxa"/>
            </w:tcMar>
            <w:vAlign w:val="center"/>
          </w:tcPr>
          <w:p>
            <w:pPr>
              <w:spacing w:before="0" w:after="0" w:line="259" w:lineRule="auto"/>
            </w:pPr>
            <w:r>
              <w:rPr>
                <w:rFonts w:ascii="Arial" w:hAnsi="Arial"/>
                <w:color w:val="191818"/>
                <w:sz w:val="18"/>
              </w:rPr>
              <w:t>Exchange raw token for short-lived HttpOnly session; remove fragment immediately.</w:t>
            </w:r>
          </w:p>
        </w:tc>
      </w:tr>
      <w:tr>
        <w:tc>
          <w:tcPr>
            <w:tcW w:type="dxa" w:w="3800"/>
            <w:tcMar>
              <w:top w:w="80" w:type="dxa"/>
              <w:bottom w:w="80" w:type="dxa"/>
              <w:start w:w="120" w:type="dxa"/>
              <w:end w:w="120" w:type="dxa"/>
            </w:tcMar>
            <w:vAlign w:val="center"/>
          </w:tcPr>
          <w:p>
            <w:pPr>
              <w:spacing w:before="0" w:after="0" w:line="259" w:lineRule="auto"/>
            </w:pPr>
            <w:r>
              <w:rPr>
                <w:rFonts w:ascii="Arial" w:hAnsi="Arial"/>
                <w:color w:val="191818"/>
                <w:sz w:val="18"/>
              </w:rPr>
              <w:t>https://proof.vornan.co/#/proof</w:t>
            </w:r>
          </w:p>
        </w:tc>
        <w:tc>
          <w:tcPr>
            <w:tcW w:type="dxa" w:w="5560"/>
            <w:tcMar>
              <w:top w:w="80" w:type="dxa"/>
              <w:bottom w:w="80" w:type="dxa"/>
              <w:start w:w="120" w:type="dxa"/>
              <w:end w:w="120" w:type="dxa"/>
            </w:tcMar>
            <w:vAlign w:val="center"/>
          </w:tcPr>
          <w:p>
            <w:pPr>
              <w:spacing w:before="0" w:after="0" w:line="259" w:lineRule="auto"/>
            </w:pPr>
            <w:r>
              <w:rPr>
                <w:rFonts w:ascii="Arial" w:hAnsi="Arial"/>
                <w:color w:val="191818"/>
                <w:sz w:val="18"/>
              </w:rPr>
              <w:t>Customer workspace after exchange; no raw grant token in visible URL.</w:t>
            </w:r>
          </w:p>
        </w:tc>
      </w:tr>
      <w:tr>
        <w:tc>
          <w:tcPr>
            <w:tcW w:type="dxa" w:w="3800"/>
            <w:tcMar>
              <w:top w:w="80" w:type="dxa"/>
              <w:bottom w:w="80" w:type="dxa"/>
              <w:start w:w="120" w:type="dxa"/>
              <w:end w:w="120" w:type="dxa"/>
            </w:tcMar>
            <w:vAlign w:val="center"/>
          </w:tcPr>
          <w:p>
            <w:pPr>
              <w:spacing w:before="0" w:after="0" w:line="259" w:lineRule="auto"/>
            </w:pPr>
            <w:r>
              <w:rPr>
                <w:rFonts w:ascii="Arial" w:hAnsi="Arial"/>
                <w:color w:val="191818"/>
                <w:sz w:val="18"/>
              </w:rPr>
              <w:t>/#/link-unavailable</w:t>
            </w:r>
          </w:p>
        </w:tc>
        <w:tc>
          <w:tcPr>
            <w:tcW w:type="dxa" w:w="5560"/>
            <w:tcMar>
              <w:top w:w="80" w:type="dxa"/>
              <w:bottom w:w="80" w:type="dxa"/>
              <w:start w:w="120" w:type="dxa"/>
              <w:end w:w="120" w:type="dxa"/>
            </w:tcMar>
            <w:vAlign w:val="center"/>
          </w:tcPr>
          <w:p>
            <w:pPr>
              <w:spacing w:before="0" w:after="0" w:line="259" w:lineRule="auto"/>
            </w:pPr>
            <w:r>
              <w:rPr>
                <w:rFonts w:ascii="Arial" w:hAnsi="Arial"/>
                <w:color w:val="191818"/>
                <w:sz w:val="18"/>
              </w:rPr>
              <w:t>Generic unknown/revoked/invalid presentation without order disclosure.</w:t>
            </w:r>
          </w:p>
        </w:tc>
      </w:tr>
      <w:tr>
        <w:tc>
          <w:tcPr>
            <w:tcW w:type="dxa" w:w="3800"/>
            <w:tcMar>
              <w:top w:w="80" w:type="dxa"/>
              <w:bottom w:w="80" w:type="dxa"/>
              <w:start w:w="120" w:type="dxa"/>
              <w:end w:w="120" w:type="dxa"/>
            </w:tcMar>
            <w:vAlign w:val="center"/>
          </w:tcPr>
          <w:p>
            <w:pPr>
              <w:spacing w:before="0" w:after="0" w:line="259" w:lineRule="auto"/>
            </w:pPr>
            <w:r>
              <w:rPr>
                <w:rFonts w:ascii="Arial" w:hAnsi="Arial"/>
                <w:color w:val="191818"/>
                <w:sz w:val="18"/>
              </w:rPr>
              <w:t>/#/session-ended</w:t>
            </w:r>
          </w:p>
        </w:tc>
        <w:tc>
          <w:tcPr>
            <w:tcW w:type="dxa" w:w="5560"/>
            <w:tcMar>
              <w:top w:w="80" w:type="dxa"/>
              <w:bottom w:w="80" w:type="dxa"/>
              <w:start w:w="120" w:type="dxa"/>
              <w:end w:w="120" w:type="dxa"/>
            </w:tcMar>
            <w:vAlign w:val="center"/>
          </w:tcPr>
          <w:p>
            <w:pPr>
              <w:spacing w:before="0" w:after="0" w:line="259" w:lineRule="auto"/>
            </w:pPr>
            <w:r>
              <w:rPr>
                <w:rFonts w:ascii="Arial" w:hAnsi="Arial"/>
                <w:color w:val="191818"/>
                <w:sz w:val="18"/>
              </w:rPr>
              <w:t>Expired or explicitly ended session.</w:t>
            </w:r>
          </w:p>
        </w:tc>
      </w:tr>
      <w:tr>
        <w:tc>
          <w:tcPr>
            <w:tcW w:type="dxa" w:w="3800"/>
            <w:tcMar>
              <w:top w:w="80" w:type="dxa"/>
              <w:bottom w:w="80" w:type="dxa"/>
              <w:start w:w="120" w:type="dxa"/>
              <w:end w:w="120" w:type="dxa"/>
            </w:tcMar>
            <w:vAlign w:val="center"/>
          </w:tcPr>
          <w:p>
            <w:pPr>
              <w:spacing w:before="0" w:after="0" w:line="259" w:lineRule="auto"/>
            </w:pPr>
            <w:r>
              <w:rPr>
                <w:rFonts w:ascii="Arial" w:hAnsi="Arial"/>
                <w:color w:val="191818"/>
                <w:sz w:val="18"/>
              </w:rPr>
              <w:t>https://api.pathfinder.vornan.co/api/proof/...</w:t>
            </w:r>
          </w:p>
        </w:tc>
        <w:tc>
          <w:tcPr>
            <w:tcW w:type="dxa" w:w="5560"/>
            <w:tcMar>
              <w:top w:w="80" w:type="dxa"/>
              <w:bottom w:w="80" w:type="dxa"/>
              <w:start w:w="120" w:type="dxa"/>
              <w:end w:w="120" w:type="dxa"/>
            </w:tcMar>
            <w:vAlign w:val="center"/>
          </w:tcPr>
          <w:p>
            <w:pPr>
              <w:spacing w:before="0" w:after="0" w:line="259" w:lineRule="auto"/>
            </w:pPr>
            <w:r>
              <w:rPr>
                <w:rFonts w:ascii="Arial" w:hAnsi="Arial"/>
                <w:color w:val="191818"/>
                <w:sz w:val="18"/>
              </w:rPr>
              <w:t>Firebase-authenticated operator/admin routes.</w:t>
            </w:r>
          </w:p>
        </w:tc>
      </w:tr>
    </w:tbl>
    <w:p>
      <w:pPr>
        <w:spacing w:after="60"/>
      </w:pPr>
    </w:p>
    <w:p>
      <w:pPr>
        <w:spacing w:before="0" w:after="120" w:line="264" w:lineRule="auto"/>
      </w:pPr>
      <w:r>
        <w:rPr>
          <w:rFonts w:ascii="Arial" w:hAnsi="Arial"/>
          <w:b w:val="0"/>
          <w:i w:val="0"/>
          <w:color w:val="191818"/>
          <w:sz w:val="22"/>
        </w:rPr>
        <w:t>Recommended edge implementation: the Proof CloudFront distribution serves the SPA from private S3 and routes /api/public/proof/* to the public Proof API origin. Same-origin cookies avoid broad credentialed CORS changes to the existing API. If same-origin routing is deferred, use a short-lived opaque bearer session held only in memory and lock CORS to proof.vornan.co.</w:t>
      </w:r>
    </w:p>
    <w:p>
      <w:pPr>
        <w:pStyle w:val="Heading2"/>
        <w:keepNext/>
      </w:pPr>
      <w:r>
        <w:rPr>
          <w:rFonts w:ascii="Arial" w:hAnsi="Arial"/>
          <w:b/>
          <w:color w:val="39523B"/>
          <w:sz w:val="26"/>
        </w:rPr>
        <w:t>7.2 Grant/session flow</w:t>
      </w:r>
    </w:p>
    <w:p>
      <w:pPr>
        <w:pStyle w:val="VornanNumber"/>
        <w:numPr>
          <w:ilvl w:val="0"/>
          <w:numId w:val="13"/>
        </w:numPr>
        <w:spacing w:after="160" w:line="280" w:lineRule="auto"/>
        <w:ind w:left="720" w:hanging="360"/>
      </w:pPr>
      <w:r>
        <w:rPr>
          <w:rFonts w:ascii="Arial" w:hAnsi="Arial"/>
          <w:color w:val="191818"/>
          <w:sz w:val="21"/>
        </w:rPr>
        <w:t>Create 32 random bytes, encode base64url, store SHA-256 only, and return the raw link once.</w:t>
      </w:r>
    </w:p>
    <w:p>
      <w:pPr>
        <w:pStyle w:val="VornanNumber"/>
        <w:numPr>
          <w:ilvl w:val="0"/>
          <w:numId w:val="13"/>
        </w:numPr>
        <w:spacing w:after="160" w:line="280" w:lineRule="auto"/>
        <w:ind w:left="720" w:hanging="360"/>
      </w:pPr>
      <w:r>
        <w:rPr>
          <w:rFonts w:ascii="Arial" w:hAnsi="Arial"/>
          <w:color w:val="191818"/>
          <w:sz w:val="21"/>
        </w:rPr>
        <w:t>Exchange through TLS; validate grant active/expiry/scope/order health/rate limits with a constant-shape lookup.</w:t>
      </w:r>
    </w:p>
    <w:p>
      <w:pPr>
        <w:pStyle w:val="VornanNumber"/>
        <w:numPr>
          <w:ilvl w:val="0"/>
          <w:numId w:val="13"/>
        </w:numPr>
        <w:spacing w:after="160" w:line="280" w:lineRule="auto"/>
        <w:ind w:left="720" w:hanging="360"/>
      </w:pPr>
      <w:r>
        <w:rPr>
          <w:rFonts w:ascii="Arial" w:hAnsi="Arial"/>
          <w:color w:val="191818"/>
          <w:sz w:val="21"/>
        </w:rPr>
        <w:t>Set proof_session HttpOnly, Secure, SameSite=Lax, narrow Path; store only a session hash with TTL.</w:t>
      </w:r>
    </w:p>
    <w:p>
      <w:pPr>
        <w:pStyle w:val="VornanNumber"/>
        <w:numPr>
          <w:ilvl w:val="0"/>
          <w:numId w:val="13"/>
        </w:numPr>
        <w:spacing w:after="160" w:line="280" w:lineRule="auto"/>
        <w:ind w:left="720" w:hanging="360"/>
      </w:pPr>
      <w:r>
        <w:rPr>
          <w:rFonts w:ascii="Arial" w:hAnsi="Arial"/>
          <w:color w:val="191818"/>
          <w:sz w:val="21"/>
        </w:rPr>
        <w:t>Revalidate grant status/scope on every request so revocation invalidates sessions within the documented cache window.</w:t>
      </w:r>
    </w:p>
    <w:p>
      <w:pPr>
        <w:pStyle w:val="VornanNumber"/>
        <w:numPr>
          <w:ilvl w:val="0"/>
          <w:numId w:val="13"/>
        </w:numPr>
        <w:spacing w:after="160" w:line="280" w:lineRule="auto"/>
        <w:ind w:left="720" w:hanging="360"/>
      </w:pPr>
      <w:r>
        <w:rPr>
          <w:rFonts w:ascii="Arial" w:hAnsi="Arial"/>
          <w:color w:val="191818"/>
          <w:sz w:val="21"/>
        </w:rPr>
        <w:t>Require participant display name + email before the first write when policy is enabled; reading may remain anonymous to reduce friction.</w:t>
      </w:r>
    </w:p>
    <w:p>
      <w:pPr>
        <w:pStyle w:val="VornanNumber"/>
        <w:numPr>
          <w:ilvl w:val="0"/>
          <w:numId w:val="13"/>
        </w:numPr>
        <w:spacing w:after="160" w:line="280" w:lineRule="auto"/>
        <w:ind w:left="720" w:hanging="360"/>
      </w:pPr>
      <w:r>
        <w:rPr>
          <w:rFonts w:ascii="Arial" w:hAnsi="Arial"/>
          <w:color w:val="191818"/>
          <w:sz w:val="21"/>
        </w:rPr>
        <w:t>Require CSRF token on cookie-authenticated state changes and Idempotency-Key on decisions/finalization.</w:t>
      </w:r>
    </w:p>
    <w:p>
      <w:pPr>
        <w:pStyle w:val="Heading2"/>
        <w:keepNext/>
      </w:pPr>
      <w:r>
        <w:rPr>
          <w:rFonts w:ascii="Arial" w:hAnsi="Arial"/>
          <w:b/>
          <w:color w:val="39523B"/>
          <w:sz w:val="26"/>
        </w:rPr>
        <w:t>7.3 Security controls</w:t>
      </w:r>
    </w:p>
    <w:p>
      <w:pPr>
        <w:pStyle w:val="VornanBullet"/>
        <w:spacing w:after="160" w:line="280" w:lineRule="auto"/>
        <w:ind w:left="720" w:hanging="360"/>
      </w:pPr>
      <w:r>
        <w:rPr>
          <w:rFonts w:ascii="Arial" w:hAnsi="Arial"/>
          <w:color w:val="191818"/>
          <w:sz w:val="21"/>
        </w:rPr>
        <w:t>Custom CloudFront response headers: CSP, no-referrer, nosniff, HSTS, restrictive Permissions-Policy and frame-ancestors 'none'.</w:t>
      </w:r>
    </w:p>
    <w:p>
      <w:pPr>
        <w:pStyle w:val="VornanBullet"/>
        <w:spacing w:after="160" w:line="280" w:lineRule="auto"/>
        <w:ind w:left="720" w:hanging="360"/>
      </w:pPr>
      <w:r>
        <w:rPr>
          <w:rFonts w:ascii="Arial" w:hAnsi="Arial"/>
          <w:color w:val="191818"/>
          <w:sz w:val="21"/>
        </w:rPr>
        <w:t>AWS WAF managed rules plus rate limits for token exchange, unknown tokens, reads, upload init/finalize and decisions.</w:t>
      </w:r>
    </w:p>
    <w:p>
      <w:pPr>
        <w:pStyle w:val="VornanBullet"/>
        <w:spacing w:after="160" w:line="280" w:lineRule="auto"/>
        <w:ind w:left="720" w:hanging="360"/>
      </w:pPr>
      <w:r>
        <w:rPr>
          <w:rFonts w:ascii="Arial" w:hAnsi="Arial"/>
          <w:color w:val="191818"/>
          <w:sz w:val="21"/>
        </w:rPr>
        <w:t>Do not rely on the current in-memory Express rate map; Lambda instances do not share it. Use WAF and/or DynamoDB counters for global enforcement.</w:t>
      </w:r>
    </w:p>
    <w:p>
      <w:pPr>
        <w:pStyle w:val="VornanBullet"/>
        <w:spacing w:after="160" w:line="280" w:lineRule="auto"/>
        <w:ind w:left="720" w:hanging="360"/>
      </w:pPr>
      <w:r>
        <w:rPr>
          <w:rFonts w:ascii="Arial" w:hAnsi="Arial"/>
          <w:color w:val="191818"/>
          <w:sz w:val="21"/>
        </w:rPr>
        <w:t>Never store grant/session tokens in localStorage, analytics, Redux persistence, error breadcrumbs, logs or URLs after exchange.</w:t>
      </w:r>
    </w:p>
    <w:p>
      <w:pPr>
        <w:pStyle w:val="VornanBullet"/>
        <w:spacing w:after="160" w:line="280" w:lineRule="auto"/>
        <w:ind w:left="720" w:hanging="360"/>
      </w:pPr>
      <w:r>
        <w:rPr>
          <w:rFonts w:ascii="Arial" w:hAnsi="Arial"/>
          <w:color w:val="191818"/>
          <w:sz w:val="21"/>
        </w:rPr>
        <w:t>Restrict proof asset origins/paths in CSP and avoid browser-to-Lift writes.</w:t>
      </w:r>
    </w:p>
    <w:p>
      <w:pPr>
        <w:pStyle w:val="VornanBullet"/>
        <w:spacing w:after="160" w:line="280" w:lineRule="auto"/>
        <w:ind w:left="720" w:hanging="360"/>
      </w:pPr>
      <w:r>
        <w:rPr>
          <w:rFonts w:ascii="Arial" w:hAnsi="Arial"/>
          <w:color w:val="191818"/>
          <w:sz w:val="21"/>
        </w:rPr>
        <w:t>Threat-model forwarded email links, shared reviewers, screenshots, browser extensions, XSS, CSRF, cross-order task guessing, upload content, and support impersonation.</w:t>
      </w:r>
    </w:p>
    <w:p>
      <w:pPr>
        <w:pStyle w:val="Heading1"/>
        <w:keepNext/>
      </w:pPr>
      <w:r>
        <w:rPr>
          <w:rFonts w:ascii="Arial" w:hAnsi="Arial"/>
          <w:b/>
          <w:color w:val="39523B"/>
          <w:sz w:val="32"/>
        </w:rPr>
        <w:t>8. API contract</w:t>
      </w:r>
    </w:p>
    <w:p>
      <w:pPr>
        <w:pStyle w:val="Heading2"/>
        <w:keepNext/>
      </w:pPr>
      <w:r>
        <w:rPr>
          <w:rFonts w:ascii="Arial" w:hAnsi="Arial"/>
          <w:b/>
          <w:color w:val="39523B"/>
          <w:sz w:val="26"/>
        </w:rPr>
        <w:t>8.1 Internal Pathfinder routes</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3900"/>
        <w:gridCol w:w="5460"/>
      </w:tblGrid>
      <w:tr>
        <w:trPr>
          <w:tblHeader w:val="true"/>
        </w:trPr>
        <w:tc>
          <w:tcPr>
            <w:tcW w:type="dxa" w:w="39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Method / path</w:t>
            </w:r>
          </w:p>
        </w:tc>
        <w:tc>
          <w:tcPr>
            <w:tcW w:type="dxa" w:w="54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Purpose</w:t>
            </w:r>
          </w:p>
        </w:tc>
      </w:tr>
      <w:tr>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8"/>
              </w:rPr>
              <w:t>POST /api/proof/orders/{orderNumber}/sync</w:t>
            </w:r>
          </w:p>
        </w:tc>
        <w:tc>
          <w:tcPr>
            <w:tcW w:type="dxa" w:w="5460"/>
            <w:tcMar>
              <w:top w:w="80" w:type="dxa"/>
              <w:bottom w:w="80" w:type="dxa"/>
              <w:start w:w="120" w:type="dxa"/>
              <w:end w:w="120" w:type="dxa"/>
            </w:tcMar>
            <w:vAlign w:val="center"/>
          </w:tcPr>
          <w:p>
            <w:pPr>
              <w:spacing w:before="0" w:after="0" w:line="259" w:lineRule="auto"/>
            </w:pPr>
            <w:r>
              <w:rPr>
                <w:rFonts w:ascii="Arial" w:hAnsi="Arial"/>
                <w:color w:val="191818"/>
                <w:sz w:val="18"/>
              </w:rPr>
              <w:t>Validate/refresh direct Lift order.</w:t>
            </w:r>
          </w:p>
        </w:tc>
      </w:tr>
      <w:tr>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8"/>
              </w:rPr>
              <w:t>GET /api/proof/orders/{orderNumber}</w:t>
            </w:r>
          </w:p>
        </w:tc>
        <w:tc>
          <w:tcPr>
            <w:tcW w:type="dxa" w:w="5460"/>
            <w:tcMar>
              <w:top w:w="80" w:type="dxa"/>
              <w:bottom w:w="80" w:type="dxa"/>
              <w:start w:w="120" w:type="dxa"/>
              <w:end w:w="120" w:type="dxa"/>
            </w:tcMar>
            <w:vAlign w:val="center"/>
          </w:tcPr>
          <w:p>
            <w:pPr>
              <w:spacing w:before="0" w:after="0" w:line="259" w:lineRule="auto"/>
            </w:pPr>
            <w:r>
              <w:rPr>
                <w:rFonts w:ascii="Arial" w:hAnsi="Arial"/>
                <w:color w:val="191818"/>
                <w:sz w:val="18"/>
              </w:rPr>
              <w:t>Order, tasks, grants, health and sync summary.</w:t>
            </w:r>
          </w:p>
        </w:tc>
      </w:tr>
      <w:tr>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8"/>
              </w:rPr>
              <w:t>POST /api/proof/orders/{orderNumber}/grants</w:t>
            </w:r>
          </w:p>
        </w:tc>
        <w:tc>
          <w:tcPr>
            <w:tcW w:type="dxa" w:w="5460"/>
            <w:tcMar>
              <w:top w:w="80" w:type="dxa"/>
              <w:bottom w:w="80" w:type="dxa"/>
              <w:start w:w="120" w:type="dxa"/>
              <w:end w:w="120" w:type="dxa"/>
            </w:tcMar>
            <w:vAlign w:val="center"/>
          </w:tcPr>
          <w:p>
            <w:pPr>
              <w:spacing w:before="0" w:after="0" w:line="259" w:lineRule="auto"/>
            </w:pPr>
            <w:r>
              <w:rPr>
                <w:rFonts w:ascii="Arial" w:hAnsi="Arial"/>
                <w:color w:val="191818"/>
                <w:sz w:val="18"/>
              </w:rPr>
              <w:t>Create view or review_and_decide grant; raw URL once.</w:t>
            </w:r>
          </w:p>
        </w:tc>
      </w:tr>
      <w:tr>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8"/>
              </w:rPr>
              <w:t>GET /api/proof/orders/{orderNumber}/grants</w:t>
            </w:r>
          </w:p>
        </w:tc>
        <w:tc>
          <w:tcPr>
            <w:tcW w:type="dxa" w:w="5460"/>
            <w:tcMar>
              <w:top w:w="80" w:type="dxa"/>
              <w:bottom w:w="80" w:type="dxa"/>
              <w:start w:w="120" w:type="dxa"/>
              <w:end w:w="120" w:type="dxa"/>
            </w:tcMar>
            <w:vAlign w:val="center"/>
          </w:tcPr>
          <w:p>
            <w:pPr>
              <w:spacing w:before="0" w:after="0" w:line="259" w:lineRule="auto"/>
            </w:pPr>
            <w:r>
              <w:rPr>
                <w:rFonts w:ascii="Arial" w:hAnsi="Arial"/>
                <w:color w:val="191818"/>
                <w:sz w:val="18"/>
              </w:rPr>
              <w:t>List metadata, last use, participant/decision counts.</w:t>
            </w:r>
          </w:p>
        </w:tc>
      </w:tr>
      <w:tr>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8"/>
              </w:rPr>
              <w:t>PATCH /api/proof/grants/{grantId}</w:t>
            </w:r>
          </w:p>
        </w:tc>
        <w:tc>
          <w:tcPr>
            <w:tcW w:type="dxa" w:w="5460"/>
            <w:tcMar>
              <w:top w:w="80" w:type="dxa"/>
              <w:bottom w:w="80" w:type="dxa"/>
              <w:start w:w="120" w:type="dxa"/>
              <w:end w:w="120" w:type="dxa"/>
            </w:tcMar>
            <w:vAlign w:val="center"/>
          </w:tcPr>
          <w:p>
            <w:pPr>
              <w:spacing w:before="0" w:after="0" w:line="259" w:lineRule="auto"/>
            </w:pPr>
            <w:r>
              <w:rPr>
                <w:rFonts w:ascii="Arial" w:hAnsi="Arial"/>
                <w:color w:val="191818"/>
                <w:sz w:val="18"/>
              </w:rPr>
              <w:t>Revoke, label, change expiry, or regenerate.</w:t>
            </w:r>
          </w:p>
        </w:tc>
      </w:tr>
      <w:tr>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8"/>
              </w:rPr>
              <w:t>GET /api/proof/orders/{orderNumber}/audit</w:t>
            </w:r>
          </w:p>
        </w:tc>
        <w:tc>
          <w:tcPr>
            <w:tcW w:type="dxa" w:w="5460"/>
            <w:tcMar>
              <w:top w:w="80" w:type="dxa"/>
              <w:bottom w:w="80" w:type="dxa"/>
              <w:start w:w="120" w:type="dxa"/>
              <w:end w:w="120" w:type="dxa"/>
            </w:tcMar>
            <w:vAlign w:val="center"/>
          </w:tcPr>
          <w:p>
            <w:pPr>
              <w:spacing w:before="0" w:after="0" w:line="259" w:lineRule="auto"/>
            </w:pPr>
            <w:r>
              <w:rPr>
                <w:rFonts w:ascii="Arial" w:hAnsi="Arial"/>
                <w:color w:val="191818"/>
                <w:sz w:val="18"/>
              </w:rPr>
              <w:t>Paginated redacted audit.</w:t>
            </w:r>
          </w:p>
        </w:tc>
      </w:tr>
      <w:tr>
        <w:tc>
          <w:tcPr>
            <w:tcW w:type="dxa" w:w="3900"/>
            <w:tcMar>
              <w:top w:w="80" w:type="dxa"/>
              <w:bottom w:w="80" w:type="dxa"/>
              <w:start w:w="120" w:type="dxa"/>
              <w:end w:w="120" w:type="dxa"/>
            </w:tcMar>
            <w:vAlign w:val="center"/>
          </w:tcPr>
          <w:p>
            <w:pPr>
              <w:spacing w:before="0" w:after="0" w:line="259" w:lineRule="auto"/>
            </w:pPr>
            <w:r>
              <w:rPr>
                <w:rFonts w:ascii="Arial" w:hAnsi="Arial"/>
                <w:color w:val="191818"/>
                <w:sz w:val="18"/>
              </w:rPr>
              <w:t>GET /api/proof/health/lift</w:t>
            </w:r>
          </w:p>
        </w:tc>
        <w:tc>
          <w:tcPr>
            <w:tcW w:type="dxa" w:w="5460"/>
            <w:tcMar>
              <w:top w:w="80" w:type="dxa"/>
              <w:bottom w:w="80" w:type="dxa"/>
              <w:start w:w="120" w:type="dxa"/>
              <w:end w:w="120" w:type="dxa"/>
            </w:tcMar>
            <w:vAlign w:val="center"/>
          </w:tcPr>
          <w:p>
            <w:pPr>
              <w:spacing w:before="0" w:after="0" w:line="259" w:lineRule="auto"/>
            </w:pPr>
            <w:r>
              <w:rPr>
                <w:rFonts w:ascii="Arial" w:hAnsi="Arial"/>
                <w:color w:val="191818"/>
                <w:sz w:val="18"/>
              </w:rPr>
              <w:t>Non-mutating configuration/read smoke checks.</w:t>
            </w:r>
          </w:p>
        </w:tc>
      </w:tr>
    </w:tbl>
    <w:p>
      <w:pPr>
        <w:spacing w:after="60"/>
      </w:pPr>
    </w:p>
    <w:p>
      <w:pPr>
        <w:pStyle w:val="Heading2"/>
        <w:keepNext/>
      </w:pPr>
      <w:r>
        <w:rPr>
          <w:rFonts w:ascii="Arial" w:hAnsi="Arial"/>
          <w:b/>
          <w:color w:val="39523B"/>
          <w:sz w:val="26"/>
        </w:rPr>
        <w:t>8.2 Public same-origin routes</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4100"/>
        <w:gridCol w:w="5260"/>
      </w:tblGrid>
      <w:tr>
        <w:trPr>
          <w:tblHeader w:val="true"/>
        </w:trPr>
        <w:tc>
          <w:tcPr>
            <w:tcW w:type="dxa" w:w="41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Method / path</w:t>
            </w:r>
          </w:p>
        </w:tc>
        <w:tc>
          <w:tcPr>
            <w:tcW w:type="dxa" w:w="52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Purpose</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8"/>
              </w:rPr>
              <w:t>POST /api/public/proof/sessions</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8"/>
              </w:rPr>
              <w:t>Raw token exchange.</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8"/>
              </w:rPr>
              <w:t>DELETE /api/public/proof/sessions/current</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8"/>
              </w:rPr>
              <w:t>End session.</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8"/>
              </w:rPr>
              <w:t>POST /api/public/proof/participants</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8"/>
              </w:rPr>
              <w:t>Identify reviewer.</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8"/>
              </w:rPr>
              <w:t>GET /api/public/proof/order</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8"/>
              </w:rPr>
              <w:t>Normalized one-order queue.</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8"/>
              </w:rPr>
              <w:t>POST /api/public/proof/order/refresh</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8"/>
              </w:rPr>
              <w:t>Queue or bounded refresh.</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8"/>
              </w:rPr>
              <w:t>POST /api/public/proof/tasks/{taskId}/approve</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8"/>
              </w:rPr>
              <w:t>Approve current attachment.</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8"/>
              </w:rPr>
              <w:t>POST /api/public/proof/tasks/{taskId}/revisions</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8"/>
              </w:rPr>
              <w:t>Initialize presigned upload.</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8"/>
              </w:rPr>
              <w:t>POST /api/public/proof/tasks/{taskId}/revisions/{revisionId}/complete</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8"/>
              </w:rPr>
              <w:t>Verify asset and submit revision to Lift.</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8"/>
              </w:rPr>
              <w:t>GET /api/public/proof/tasks/{taskId}/history</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8"/>
              </w:rPr>
              <w:t>Current and historical versions.</w:t>
            </w:r>
          </w:p>
        </w:tc>
      </w:tr>
    </w:tbl>
    <w:p>
      <w:pPr>
        <w:spacing w:after="60"/>
      </w:pPr>
    </w:p>
    <w:p>
      <w:pPr>
        <w:spacing w:before="0" w:after="120" w:line="264" w:lineRule="auto"/>
      </w:pPr>
      <w:r>
        <w:rPr>
          <w:rFonts w:ascii="Arial" w:hAnsi="Arial"/>
          <w:b w:val="0"/>
          <w:i w:val="0"/>
          <w:color w:val="191818"/>
          <w:sz w:val="22"/>
        </w:rPr>
        <w:t>The public DTO returns customer-safe order/task fields, sync freshness, counts and permissions. It must not expose S3 bucket/key names, raw Lift rows, secret identifiers, internal customer/route objects, full audit, or signed URL query strings in logs.</w:t>
      </w:r>
    </w:p>
    <w:p>
      <w:pPr>
        <w:pStyle w:val="Heading1"/>
        <w:keepNext/>
      </w:pPr>
      <w:r>
        <w:rPr>
          <w:rFonts w:ascii="Arial" w:hAnsi="Arial"/>
          <w:b/>
          <w:color w:val="39523B"/>
          <w:sz w:val="32"/>
        </w:rPr>
        <w:t>9. UI/UX adaptation and Vornan brand</w:t>
      </w:r>
    </w:p>
    <w:p>
      <w:pPr>
        <w:pStyle w:val="Heading2"/>
        <w:keepNext/>
      </w:pPr>
      <w:r>
        <w:rPr>
          <w:rFonts w:ascii="Arial" w:hAnsi="Arial"/>
          <w:b/>
          <w:color w:val="39523B"/>
          <w:sz w:val="26"/>
        </w:rPr>
        <w:t>9.1 Visual direction</w:t>
      </w:r>
    </w:p>
    <w:p>
      <w:pPr>
        <w:spacing w:before="0" w:after="120" w:line="264" w:lineRule="auto"/>
      </w:pPr>
      <w:r>
        <w:rPr>
          <w:rFonts w:ascii="Arial" w:hAnsi="Arial"/>
          <w:b w:val="0"/>
          <w:i w:val="0"/>
          <w:color w:val="191818"/>
          <w:sz w:val="22"/>
        </w:rPr>
        <w:t>Retain the Adspace proof workspace’s proportions and interaction logic, not its brand or surrounding application shell. Proof imagery remains the visual hero. The interface should read as a calm Vornan operations surface: compact, trustworthy, clear about state and next action, and deliberately free of advertising/project-management language.</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2200"/>
        <w:gridCol w:w="7160"/>
      </w:tblGrid>
      <w:tr>
        <w:trPr>
          <w:tblHeader w:val="true"/>
        </w:trPr>
        <w:tc>
          <w:tcPr>
            <w:tcW w:type="dxa" w:w="22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Token / role</w:t>
            </w:r>
          </w:p>
        </w:tc>
        <w:tc>
          <w:tcPr>
            <w:tcW w:type="dxa" w:w="71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Vornan Proof direction</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Product identity</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Vornan wordmark + text product mark “Proof”; no Adspace or Pathfinder lockup in the customer header unless brand leadership chooses a Vornan ecosystem lockup.</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Typography</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Plus Jakarta Sans 800 for product/major titles and 500 for labels; Inter/Arial for dense metadata and forms. Package both font weights in apps/proof/public/fonts.</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Structure</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Black #191818 and forest #39523b.</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Accent</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Lime #abc65f for rail/focus/active detail; never a large flood.</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Surfaces</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Stone #f3f7f1, surface #f7f8f5, white, border #d8dfd3.</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Status</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Success forest; warning #a87921; danger #b13b33; info #3f5f8f. Always pair color with text/icon.</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Primary action</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Forest button with white text; lime may accent focus/selection. Replace Adspace blue CTA.</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Shape</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8–12 px radii, restrained shadows, compact chips, 44 px touch targets.</w:t>
            </w:r>
          </w:p>
        </w:tc>
      </w:tr>
    </w:tbl>
    <w:p>
      <w:pPr>
        <w:spacing w:after="60"/>
      </w:pPr>
    </w:p>
    <w:p>
      <w:pPr>
        <w:pStyle w:val="Heading2"/>
        <w:keepNext/>
      </w:pPr>
      <w:r>
        <w:rPr>
          <w:rFonts w:ascii="Arial" w:hAnsi="Arial"/>
          <w:b/>
          <w:color w:val="39523B"/>
          <w:sz w:val="26"/>
        </w:rPr>
        <w:t>9.2 Preserve / remove / reinterpret</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3000"/>
        <w:gridCol w:w="6360"/>
      </w:tblGrid>
      <w:tr>
        <w:trPr>
          <w:tblHeader w:val="true"/>
        </w:trPr>
        <w:tc>
          <w:tcPr>
            <w:tcW w:type="dxa" w:w="3000"/>
            <w:shd w:fill="EEF3EB"/>
            <w:tcMar>
              <w:top w:w="80" w:type="dxa"/>
              <w:bottom w:w="80" w:type="dxa"/>
              <w:start w:w="120" w:type="dxa"/>
              <w:end w:w="120" w:type="dxa"/>
            </w:tcMar>
            <w:vAlign w:val="center"/>
          </w:tcPr>
          <w:p>
            <w:pPr>
              <w:spacing w:before="0" w:after="0" w:line="259" w:lineRule="auto"/>
            </w:pPr>
            <w:r>
              <w:rPr>
                <w:rFonts w:ascii="Arial" w:hAnsi="Arial"/>
                <w:b/>
                <w:color w:val="39523B"/>
                <w:sz w:val="17"/>
              </w:rPr>
              <w:t>Reference element</w:t>
            </w:r>
          </w:p>
        </w:tc>
        <w:tc>
          <w:tcPr>
            <w:tcW w:type="dxa" w:w="6360"/>
            <w:shd w:fill="EEF3EB"/>
            <w:tcMar>
              <w:top w:w="80" w:type="dxa"/>
              <w:bottom w:w="80" w:type="dxa"/>
              <w:start w:w="120" w:type="dxa"/>
              <w:end w:w="120" w:type="dxa"/>
            </w:tcMar>
            <w:vAlign w:val="center"/>
          </w:tcPr>
          <w:p>
            <w:pPr>
              <w:spacing w:before="0" w:after="0" w:line="259" w:lineRule="auto"/>
            </w:pPr>
            <w:r>
              <w:rPr>
                <w:rFonts w:ascii="Arial" w:hAnsi="Arial"/>
                <w:b/>
                <w:color w:val="39523B"/>
                <w:sz w:val="17"/>
              </w:rPr>
              <w:t>Vornan Proof treatment</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7"/>
              </w:rPr>
              <w:t>Global Adspace app bar, tenant chip, admin identity</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7"/>
              </w:rPr>
              <w:t>Remove. Use Vornan Proof header and optional reviewer/session menu.</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7"/>
              </w:rPr>
              <w:t>Project name / proof approval context</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7"/>
              </w:rPr>
              <w:t>Use Lift ORDER_TITLE; fallback “Order A########”. Label surface “Proof Review” or “Order Proofs”.</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7"/>
              </w:rPr>
              <w:t>Venue/customer chip</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7"/>
              </w:rPr>
              <w:t>Use CUSTOMER_NAME where useful; do not imply venue semantics.</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7"/>
              </w:rPr>
              <w:t>Order chip and counters</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7"/>
              </w:rPr>
              <w:t>Preserve: Order, Pending, Revised/Regenerating, Waiting, Approved/Total.</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7"/>
              </w:rPr>
              <w:t>Left proof queue</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7"/>
              </w:rPr>
              <w:t>Preserve dimensions, independent scrolling, thumbnails, filters, search and selection.</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7"/>
              </w:rPr>
              <w:t>Assigned locations / mismatch</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7"/>
              </w:rPr>
              <w:t>Remove completely. Quantity stays visible without allocation comparison.</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7"/>
              </w:rPr>
              <w:t>Two-up client upload / proof viewer</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7"/>
              </w:rPr>
              <w:t>Preserve when original/customer art exists; otherwise center one proof panel. The proof endpoint may eventually supply original art, but that source is not currently available in Pathfinder.</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7"/>
              </w:rPr>
              <w:t>Feedback gate/modal</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7"/>
              </w:rPr>
              <w:t>Preserve behavior; recolor and rename IDs as technical information.</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7"/>
              </w:rPr>
              <w:t>File history modal</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7"/>
              </w:rPr>
              <w:t>Preserve current proof, customer revisions, prior versions, approval metadata and reports; remove Adspace relations.</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7"/>
              </w:rPr>
              <w:t>Hub back link</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7"/>
              </w:rPr>
              <w:t>Close/end session or return to an explicitly configured Vornan/Status page.</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7"/>
              </w:rPr>
              <w:t>Route/vendor badges</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7"/>
              </w:rPr>
              <w:t>Remove in v1; every customer task is Lift-backed.</w:t>
            </w:r>
          </w:p>
        </w:tc>
      </w:tr>
      <w:tr>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7"/>
              </w:rPr>
              <w:t>Dark-mode switch</w:t>
            </w:r>
          </w:p>
        </w:tc>
        <w:tc>
          <w:tcPr>
            <w:tcW w:type="dxa" w:w="6360"/>
            <w:tcMar>
              <w:top w:w="80" w:type="dxa"/>
              <w:bottom w:w="80" w:type="dxa"/>
              <w:start w:w="120" w:type="dxa"/>
              <w:end w:w="120" w:type="dxa"/>
            </w:tcMar>
            <w:vAlign w:val="center"/>
          </w:tcPr>
          <w:p>
            <w:pPr>
              <w:spacing w:before="0" w:after="0" w:line="259" w:lineRule="auto"/>
            </w:pPr>
            <w:r>
              <w:rPr>
                <w:rFonts w:ascii="Arial" w:hAnsi="Arial"/>
                <w:color w:val="191818"/>
                <w:sz w:val="17"/>
              </w:rPr>
              <w:t>Defer unless required; if enabled, never invert proof art and keep image canvases neutral.</w:t>
            </w:r>
          </w:p>
        </w:tc>
      </w:tr>
    </w:tbl>
    <w:p>
      <w:pPr>
        <w:spacing w:after="60"/>
      </w:pPr>
    </w:p>
    <w:p>
      <w:pPr>
        <w:pStyle w:val="Heading2"/>
        <w:keepNext/>
      </w:pPr>
      <w:r>
        <w:rPr>
          <w:rFonts w:ascii="Arial" w:hAnsi="Arial"/>
          <w:b/>
          <w:color w:val="39523B"/>
          <w:sz w:val="26"/>
        </w:rPr>
        <w:t>9.3 Responsive anatomy</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2200"/>
        <w:gridCol w:w="7160"/>
      </w:tblGrid>
      <w:tr>
        <w:trPr>
          <w:tblHeader w:val="true"/>
        </w:trPr>
        <w:tc>
          <w:tcPr>
            <w:tcW w:type="dxa" w:w="22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Viewport</w:t>
            </w:r>
          </w:p>
        </w:tc>
        <w:tc>
          <w:tcPr>
            <w:tcW w:type="dxa" w:w="71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Composition</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&gt; 1400 px</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380–400 px independently scrolling queue + flexible detail pane; two-up viewer when both assets exist; action dock attached to selected task.</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1281–1400 px / short laptop</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340–360 px queue; stack viewer if needed; compact metadata/header; keep decisions reachable and buttons ≥34 px.</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821–1280 px</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Queue retained; selected detail uses a single card/canvas rather than squeezing two desktop viewers.</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 820 px</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Stacked proof feed; sticky collapsed task/filter dock; full-width proof and actions; modal becomes bottom sheet.</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Short landscape phone</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Use mobile feed, not a squeezed split layout; respect safe areas and reduced motion.</w:t>
            </w:r>
          </w:p>
        </w:tc>
      </w:tr>
    </w:tbl>
    <w:p>
      <w:pPr>
        <w:spacing w:after="60"/>
      </w:pPr>
    </w:p>
    <w:p>
      <w:pPr>
        <w:pStyle w:val="Heading2"/>
        <w:keepNext/>
      </w:pPr>
      <w:r>
        <w:rPr>
          <w:rFonts w:ascii="Arial" w:hAnsi="Arial"/>
          <w:b/>
          <w:color w:val="39523B"/>
          <w:sz w:val="26"/>
        </w:rPr>
        <w:t>9.4 Required states and accessibility</w:t>
      </w:r>
    </w:p>
    <w:p>
      <w:pPr>
        <w:pStyle w:val="VornanBullet"/>
        <w:spacing w:after="160" w:line="280" w:lineRule="auto"/>
        <w:ind w:left="720" w:hanging="360"/>
      </w:pPr>
      <w:r>
        <w:rPr>
          <w:rFonts w:ascii="Arial" w:hAnsi="Arial"/>
          <w:color w:val="191818"/>
          <w:sz w:val="21"/>
        </w:rPr>
        <w:t>Branded token-resolving and first-load states without fake order data.</w:t>
      </w:r>
    </w:p>
    <w:p>
      <w:pPr>
        <w:pStyle w:val="VornanBullet"/>
        <w:spacing w:after="160" w:line="280" w:lineRule="auto"/>
        <w:ind w:left="720" w:hanging="360"/>
      </w:pPr>
      <w:r>
        <w:rPr>
          <w:rFonts w:ascii="Arial" w:hAnsi="Arial"/>
          <w:color w:val="191818"/>
          <w:sz w:val="21"/>
        </w:rPr>
        <w:t>Cached data remains visible while refresh runs; stale/failure messages never erase proofs.</w:t>
      </w:r>
    </w:p>
    <w:p>
      <w:pPr>
        <w:pStyle w:val="VornanBullet"/>
        <w:spacing w:after="160" w:line="280" w:lineRule="auto"/>
        <w:ind w:left="720" w:hanging="360"/>
      </w:pPr>
      <w:r>
        <w:rPr>
          <w:rFonts w:ascii="Arial" w:hAnsi="Arial"/>
          <w:color w:val="191818"/>
          <w:sz w:val="21"/>
        </w:rPr>
        <w:t>No proofs yet, filter empty, complete, order unavailable, upload progress, reconciliation and session-ended states.</w:t>
      </w:r>
    </w:p>
    <w:p>
      <w:pPr>
        <w:pStyle w:val="VornanBullet"/>
        <w:spacing w:after="160" w:line="280" w:lineRule="auto"/>
        <w:ind w:left="720" w:hanging="360"/>
      </w:pPr>
      <w:r>
        <w:rPr>
          <w:rFonts w:ascii="Arial" w:hAnsi="Arial"/>
          <w:color w:val="191818"/>
          <w:sz w:val="21"/>
        </w:rPr>
        <w:t>Keyboard-operable queue cards, previews, modals, bottom sheets, tabs and file actions; focus is trapped/returned correctly.</w:t>
      </w:r>
    </w:p>
    <w:p>
      <w:pPr>
        <w:pStyle w:val="VornanBullet"/>
        <w:spacing w:after="160" w:line="280" w:lineRule="auto"/>
        <w:ind w:left="720" w:hanging="360"/>
      </w:pPr>
      <w:r>
        <w:rPr>
          <w:rFonts w:ascii="Arial" w:hAnsi="Arial"/>
          <w:color w:val="191818"/>
          <w:sz w:val="21"/>
        </w:rPr>
        <w:t>WCAG 2.2 AA contrast, visible focus, text/icon status, polite live regions, 44 px touch targets, Escape behavior and reduced motion.</w:t>
      </w:r>
    </w:p>
    <w:p>
      <w:pPr>
        <w:pStyle w:val="VornanBullet"/>
        <w:spacing w:after="160" w:line="280" w:lineRule="auto"/>
        <w:ind w:left="720" w:hanging="360"/>
      </w:pPr>
      <w:r>
        <w:rPr>
          <w:rFonts w:ascii="Arial" w:hAnsi="Arial"/>
          <w:color w:val="191818"/>
          <w:sz w:val="21"/>
        </w:rPr>
        <w:t>Proof images use object-fit: contain, are never color-filtered or cropped, and open the best available full-resolution asset safely.</w:t>
      </w:r>
    </w:p>
    <w:p>
      <w:pPr>
        <w:pStyle w:val="VornanBullet"/>
        <w:spacing w:after="160" w:line="280" w:lineRule="auto"/>
        <w:ind w:left="720" w:hanging="360"/>
      </w:pPr>
      <w:r>
        <w:rPr>
          <w:rFonts w:ascii="Arial" w:hAnsi="Arial"/>
          <w:color w:val="191818"/>
          <w:sz w:val="21"/>
        </w:rPr>
        <w:t>PDF proofs and customer uploads are a primary path: provide reliable contained preview, paging/zoom where supported, full-resolution open/download, keyboard access, and an explicit fallback when conversion fails.</w:t>
      </w:r>
    </w:p>
    <w:p>
      <w:pPr>
        <w:pStyle w:val="Heading2"/>
        <w:keepNext/>
      </w:pPr>
      <w:r>
        <w:rPr>
          <w:rFonts w:ascii="Arial" w:hAnsi="Arial"/>
          <w:b/>
          <w:color w:val="39523B"/>
          <w:sz w:val="26"/>
        </w:rPr>
        <w:t>9.5 Adspace artifact rejection checklist</w:t>
      </w:r>
    </w:p>
    <w:p>
      <w:pPr>
        <w:pStyle w:val="VornanBullet"/>
        <w:spacing w:after="160" w:line="280" w:lineRule="auto"/>
        <w:ind w:left="720" w:hanging="360"/>
      </w:pPr>
      <w:r>
        <w:rPr>
          <w:rFonts w:ascii="Arial" w:hAnsi="Arial"/>
          <w:color w:val="191818"/>
          <w:sz w:val="21"/>
        </w:rPr>
        <w:t>No Adspace names, logos, domains, icons, user roles, tenant language or environment labels.</w:t>
      </w:r>
    </w:p>
    <w:p>
      <w:pPr>
        <w:pStyle w:val="VornanBullet"/>
        <w:spacing w:after="160" w:line="280" w:lineRule="auto"/>
        <w:ind w:left="720" w:hanging="360"/>
      </w:pPr>
      <w:r>
        <w:rPr>
          <w:rFonts w:ascii="Arial" w:hAnsi="Arial"/>
          <w:color w:val="191818"/>
          <w:sz w:val="21"/>
        </w:rPr>
        <w:t>No project, venue, inventory, room, allocation, location-assignment, transit or campaign fields in customer DTOs or UI.</w:t>
      </w:r>
    </w:p>
    <w:p>
      <w:pPr>
        <w:pStyle w:val="VornanBullet"/>
        <w:spacing w:after="160" w:line="280" w:lineRule="auto"/>
        <w:ind w:left="720" w:hanging="360"/>
      </w:pPr>
      <w:r>
        <w:rPr>
          <w:rFonts w:ascii="Arial" w:hAnsi="Arial"/>
          <w:color w:val="191818"/>
          <w:sz w:val="21"/>
        </w:rPr>
        <w:t>No copied Adspace physical bucket/table/distribution/secret/IAM names.</w:t>
      </w:r>
    </w:p>
    <w:p>
      <w:pPr>
        <w:pStyle w:val="VornanBullet"/>
        <w:spacing w:after="160" w:line="280" w:lineRule="auto"/>
        <w:ind w:left="720" w:hanging="360"/>
      </w:pPr>
      <w:r>
        <w:rPr>
          <w:rFonts w:ascii="Arial" w:hAnsi="Arial"/>
          <w:color w:val="191818"/>
          <w:sz w:val="21"/>
        </w:rPr>
        <w:t>No ADSPACE360 integration username in Lift request bodies.</w:t>
      </w:r>
    </w:p>
    <w:p>
      <w:pPr>
        <w:pStyle w:val="VornanBullet"/>
        <w:spacing w:after="160" w:line="280" w:lineRule="auto"/>
        <w:ind w:left="720" w:hanging="360"/>
      </w:pPr>
      <w:r>
        <w:rPr>
          <w:rFonts w:ascii="Arial" w:hAnsi="Arial"/>
          <w:color w:val="191818"/>
          <w:sz w:val="21"/>
        </w:rPr>
        <w:t>No Adspace IDs in sample data, tests, URLs, screenshots, analytics or support messages.</w:t>
      </w:r>
    </w:p>
    <w:p>
      <w:pPr>
        <w:pStyle w:val="VornanBullet"/>
        <w:spacing w:after="160" w:line="280" w:lineRule="auto"/>
        <w:ind w:left="720" w:hanging="360"/>
      </w:pPr>
      <w:r>
        <w:rPr>
          <w:rFonts w:ascii="Arial" w:hAnsi="Arial"/>
          <w:color w:val="191818"/>
          <w:sz w:val="21"/>
        </w:rPr>
        <w:t>No runtime import from the Adspace repository; port behavior through documented contracts and Pathfinder-owned tests.</w:t>
      </w:r>
    </w:p>
    <w:p>
      <w:pPr>
        <w:pStyle w:val="Heading1"/>
        <w:keepNext/>
      </w:pPr>
      <w:r>
        <w:rPr>
          <w:rFonts w:ascii="Arial" w:hAnsi="Arial"/>
          <w:b/>
          <w:color w:val="39523B"/>
          <w:sz w:val="32"/>
        </w:rPr>
        <w:t>10. Revised-art storage and Lift delivery</w:t>
      </w:r>
    </w:p>
    <w:p>
      <w:pPr>
        <w:pStyle w:val="Heading2"/>
        <w:keepNext/>
      </w:pPr>
      <w:r>
        <w:rPr>
          <w:rFonts w:ascii="Arial" w:hAnsi="Arial"/>
          <w:b/>
          <w:color w:val="39523B"/>
          <w:sz w:val="26"/>
        </w:rPr>
        <w:t>10.1 Upload lifecycle</w:t>
      </w:r>
    </w:p>
    <w:p>
      <w:pPr>
        <w:pStyle w:val="VornanNumber"/>
        <w:numPr>
          <w:ilvl w:val="0"/>
          <w:numId w:val="14"/>
        </w:numPr>
        <w:spacing w:after="160" w:line="280" w:lineRule="auto"/>
        <w:ind w:left="720" w:hanging="360"/>
      </w:pPr>
      <w:r>
        <w:rPr>
          <w:rFonts w:ascii="Arial" w:hAnsi="Arial"/>
          <w:color w:val="191818"/>
          <w:sz w:val="21"/>
        </w:rPr>
        <w:t>Validate session, grant scope, participant, task/attachment, expected version, filename, MIME and declared size.</w:t>
      </w:r>
    </w:p>
    <w:p>
      <w:pPr>
        <w:pStyle w:val="VornanNumber"/>
        <w:numPr>
          <w:ilvl w:val="0"/>
          <w:numId w:val="14"/>
        </w:numPr>
        <w:spacing w:after="160" w:line="280" w:lineRule="auto"/>
        <w:ind w:left="720" w:hanging="360"/>
      </w:pPr>
      <w:r>
        <w:rPr>
          <w:rFonts w:ascii="Arial" w:hAnsi="Arial"/>
          <w:color w:val="191818"/>
          <w:sz w:val="21"/>
        </w:rPr>
        <w:t>Create RevisionUpload initialized record and server-chosen S3 key. For ordinary files return a short-lived presigned PUT; for large files initialize a resumable S3 multipart upload with presigned parts and checksum/ETag tracking.</w:t>
      </w:r>
    </w:p>
    <w:p>
      <w:pPr>
        <w:pStyle w:val="VornanNumber"/>
        <w:numPr>
          <w:ilvl w:val="0"/>
          <w:numId w:val="14"/>
        </w:numPr>
        <w:spacing w:after="160" w:line="280" w:lineRule="auto"/>
        <w:ind w:left="720" w:hanging="360"/>
      </w:pPr>
      <w:r>
        <w:rPr>
          <w:rFonts w:ascii="Arial" w:hAnsi="Arial"/>
          <w:color w:val="191818"/>
          <w:sz w:val="21"/>
        </w:rPr>
        <w:t>Browser uploads directly to private S3 and optionally uploads a thumbnail; 800 MB+ files use multipart concurrency, part retries, pause/resume, cancel and progress. No API Gateway file body.</w:t>
      </w:r>
    </w:p>
    <w:p>
      <w:pPr>
        <w:pStyle w:val="VornanNumber"/>
        <w:numPr>
          <w:ilvl w:val="0"/>
          <w:numId w:val="14"/>
        </w:numPr>
        <w:spacing w:after="160" w:line="280" w:lineRule="auto"/>
        <w:ind w:left="720" w:hanging="360"/>
      </w:pPr>
      <w:r>
        <w:rPr>
          <w:rFonts w:ascii="Arial" w:hAnsi="Arial"/>
          <w:color w:val="191818"/>
          <w:sz w:val="21"/>
        </w:rPr>
        <w:t>Finalize with revisionId, uploadId and completed-part manifest or ETag, note, expected version and idempotency key.</w:t>
      </w:r>
    </w:p>
    <w:p>
      <w:pPr>
        <w:pStyle w:val="VornanNumber"/>
        <w:numPr>
          <w:ilvl w:val="0"/>
          <w:numId w:val="14"/>
        </w:numPr>
        <w:spacing w:after="160" w:line="280" w:lineRule="auto"/>
        <w:ind w:left="720" w:hanging="360"/>
      </w:pPr>
      <w:r>
        <w:rPr>
          <w:rFonts w:ascii="Arial" w:hAnsi="Arial"/>
          <w:color w:val="191818"/>
          <w:sz w:val="21"/>
        </w:rPr>
        <w:t>HeadObject verifies key prefix, size, type, tags and ownership; optional malware/magic-byte scan gates publication.</w:t>
      </w:r>
    </w:p>
    <w:p>
      <w:pPr>
        <w:pStyle w:val="VornanNumber"/>
        <w:numPr>
          <w:ilvl w:val="0"/>
          <w:numId w:val="14"/>
        </w:numPr>
        <w:spacing w:after="160" w:line="280" w:lineRule="auto"/>
        <w:ind w:left="720" w:hanging="360"/>
      </w:pPr>
      <w:r>
        <w:rPr>
          <w:rFonts w:ascii="Arial" w:hAnsi="Arial"/>
          <w:color w:val="191818"/>
          <w:sz w:val="21"/>
        </w:rPr>
        <w:t>Copy to lift-outbound/{random}/{safeName} with replaced Content-Type and attachment Content-Disposition.</w:t>
      </w:r>
    </w:p>
    <w:p>
      <w:pPr>
        <w:pStyle w:val="VornanNumber"/>
        <w:numPr>
          <w:ilvl w:val="0"/>
          <w:numId w:val="14"/>
        </w:numPr>
        <w:spacing w:after="160" w:line="280" w:lineRule="auto"/>
        <w:ind w:left="720" w:hanging="360"/>
      </w:pPr>
      <w:r>
        <w:rPr>
          <w:rFonts w:ascii="Arial" w:hAnsi="Arial"/>
          <w:color w:val="191818"/>
          <w:sz w:val="21"/>
        </w:rPr>
        <w:t>Generate a 24-hour trusted-key CloudFront URL that returns the file directly with 200 and no redirect.</w:t>
      </w:r>
    </w:p>
    <w:p>
      <w:pPr>
        <w:pStyle w:val="VornanNumber"/>
        <w:numPr>
          <w:ilvl w:val="0"/>
          <w:numId w:val="14"/>
        </w:numPr>
        <w:spacing w:after="160" w:line="280" w:lineRule="auto"/>
        <w:ind w:left="720" w:hanging="360"/>
      </w:pPr>
      <w:r>
        <w:rPr>
          <w:rFonts w:ascii="Arial" w:hAnsi="Arial"/>
          <w:color w:val="191818"/>
          <w:sz w:val="21"/>
        </w:rPr>
        <w:t>Call Lift revision PUT, preserve the durable source, archive old proof version, mark waiting and enqueue sync.</w:t>
      </w:r>
    </w:p>
    <w:p>
      <w:pPr>
        <w:pStyle w:val="VornanNumber"/>
        <w:numPr>
          <w:ilvl w:val="0"/>
          <w:numId w:val="14"/>
        </w:numPr>
        <w:spacing w:after="160" w:line="280" w:lineRule="auto"/>
        <w:ind w:left="720" w:hanging="360"/>
      </w:pPr>
      <w:r>
        <w:rPr>
          <w:rFonts w:ascii="Arial" w:hAnsi="Arial"/>
          <w:color w:val="191818"/>
          <w:sz w:val="21"/>
        </w:rPr>
        <w:t>On transient failure retain the verified upload and expose safe retry/reconciliation; do not demand re-upload.</w:t>
      </w:r>
    </w:p>
    <w:p>
      <w:pPr>
        <w:pStyle w:val="Heading2"/>
        <w:keepNext/>
      </w:pPr>
      <w:r>
        <w:rPr>
          <w:rFonts w:ascii="Arial" w:hAnsi="Arial"/>
          <w:b/>
          <w:color w:val="39523B"/>
          <w:sz w:val="26"/>
        </w:rPr>
        <w:t>10.2 Storage controls</w:t>
      </w:r>
    </w:p>
    <w:p>
      <w:pPr>
        <w:pStyle w:val="VornanBullet"/>
        <w:spacing w:after="160" w:line="280" w:lineRule="auto"/>
        <w:ind w:left="720" w:hanging="360"/>
      </w:pPr>
      <w:r>
        <w:rPr>
          <w:rFonts w:ascii="Arial" w:hAnsi="Arial"/>
          <w:color w:val="191818"/>
          <w:sz w:val="21"/>
        </w:rPr>
        <w:t>Private versioned asset bucket, block public access, TLS only, SSE-S3 or KMS per policy, least-privilege prefixes.</w:t>
      </w:r>
    </w:p>
    <w:p>
      <w:pPr>
        <w:pStyle w:val="VornanBullet"/>
        <w:spacing w:after="160" w:line="280" w:lineRule="auto"/>
        <w:ind w:left="720" w:hanging="360"/>
      </w:pPr>
      <w:r>
        <w:rPr>
          <w:rFonts w:ascii="Arial" w:hAnsi="Arial"/>
          <w:color w:val="191818"/>
          <w:sz w:val="21"/>
        </w:rPr>
        <w:t>CORS only from proof.vornan.co and reviewed local origins; allow PUT/GET/HEAD; expose ETag.</w:t>
      </w:r>
    </w:p>
    <w:p>
      <w:pPr>
        <w:pStyle w:val="VornanBullet"/>
        <w:spacing w:after="160" w:line="280" w:lineRule="auto"/>
        <w:ind w:left="720" w:hanging="360"/>
      </w:pPr>
      <w:r>
        <w:rPr>
          <w:rFonts w:ascii="Arial" w:hAnsi="Arial"/>
          <w:color w:val="191818"/>
          <w:sz w:val="21"/>
        </w:rPr>
        <w:t>Lifecycle: abandoned uploads ~24 hours; lift-outbound 14 days; durable submitted revisions per approved business-record retention; never delete referenced/legal-hold assets.</w:t>
      </w:r>
    </w:p>
    <w:p>
      <w:pPr>
        <w:pStyle w:val="VornanBullet"/>
        <w:spacing w:after="160" w:line="280" w:lineRule="auto"/>
        <w:ind w:left="720" w:hanging="360"/>
      </w:pPr>
      <w:r>
        <w:rPr>
          <w:rFonts w:ascii="Arial" w:hAnsi="Arial"/>
          <w:color w:val="191818"/>
          <w:sz w:val="21"/>
        </w:rPr>
        <w:t>Use a broad, configuration-driven print-art allowlist that includes PDF, PNG, JPEG/JPG, TIFF, PSD, AI, EPS and INDD. Preserve the original file; validate extension, detected type and declared MIME without pretending every format is browser-previewable.</w:t>
      </w:r>
    </w:p>
    <w:p>
      <w:pPr>
        <w:pStyle w:val="VornanBullet"/>
        <w:spacing w:after="160" w:line="280" w:lineRule="auto"/>
        <w:ind w:left="720" w:hanging="360"/>
      </w:pPr>
      <w:r>
        <w:rPr>
          <w:rFonts w:ascii="Arial" w:hAnsi="Arial"/>
          <w:color w:val="191818"/>
          <w:sz w:val="21"/>
        </w:rPr>
        <w:t>Non-browser-native Adobe and prepress files use a metadata/thumbnail card plus secure download unless a sandboxed conversion worker produces a safe preview. Active HTML/SVG, executables and scripts remain prohibited.</w:t>
      </w:r>
    </w:p>
    <w:p>
      <w:pPr>
        <w:pStyle w:val="VornanBullet"/>
        <w:spacing w:after="160" w:line="280" w:lineRule="auto"/>
        <w:ind w:left="720" w:hanging="360"/>
      </w:pPr>
      <w:r>
        <w:rPr>
          <w:rFonts w:ascii="Arial" w:hAnsi="Arial"/>
          <w:color w:val="191818"/>
          <w:sz w:val="21"/>
        </w:rPr>
        <w:t>Lift does not accept ZIP artwork. Do not submit ZIP files to Lift in v1. Defer a separate private package-intake and operator-unpack workflow for INDD-linked assets; keep it outside the customer decision-submission path.</w:t>
      </w:r>
    </w:p>
    <w:p>
      <w:pPr>
        <w:pStyle w:val="VornanBullet"/>
        <w:spacing w:after="160" w:line="280" w:lineRule="auto"/>
        <w:ind w:left="720" w:hanging="360"/>
      </w:pPr>
      <w:r>
        <w:rPr>
          <w:rFonts w:ascii="Arial" w:hAnsi="Arial"/>
          <w:color w:val="191818"/>
          <w:sz w:val="21"/>
        </w:rPr>
        <w:t>Do not impose the earlier 100 MB product ceiling. The v1 path must handle files of at least 800 MB and use configurable quotas plus multipart upload for larger client submissions. Validate practical browser, S3, scanning, CloudFront and Lift-fetch limits; expose clear progress, retry and cancel behavior.</w:t>
      </w:r>
    </w:p>
    <w:p>
      <w:pPr>
        <w:pStyle w:val="VornanBullet"/>
        <w:spacing w:after="160" w:line="280" w:lineRule="auto"/>
        <w:ind w:left="720" w:hanging="360"/>
      </w:pPr>
      <w:r>
        <w:rPr>
          <w:rFonts w:ascii="Arial" w:hAnsi="Arial"/>
          <w:color w:val="191818"/>
          <w:sz w:val="21"/>
        </w:rPr>
        <w:t>All accepted files pass magic-byte/type validation and the approved malware/content-scan policy before Lift delivery. Large-file scanning is asynchronous and resource-bounded; a scan timeout must not silently bypass policy.</w:t>
      </w:r>
    </w:p>
    <w:p>
      <w:pPr>
        <w:pStyle w:val="VornanBullet"/>
        <w:spacing w:after="160" w:line="280" w:lineRule="auto"/>
        <w:ind w:left="720" w:hanging="360"/>
      </w:pPr>
      <w:r>
        <w:rPr>
          <w:rFonts w:ascii="Arial" w:hAnsi="Arial"/>
          <w:color w:val="191818"/>
          <w:sz w:val="21"/>
        </w:rPr>
        <w:t>Thumbnail failure must not block a valid main upload; PDF/image preview processing must be resource-bounded and PDF behavior must be exercised as a first-class acceptance path.</w:t>
      </w:r>
    </w:p>
    <w:p>
      <w:pPr>
        <w:pStyle w:val="Heading1"/>
        <w:keepNext/>
      </w:pPr>
      <w:r>
        <w:rPr>
          <w:rFonts w:ascii="Arial" w:hAnsi="Arial"/>
          <w:b/>
          <w:color w:val="39523B"/>
          <w:sz w:val="32"/>
        </w:rPr>
        <w:t>11. Pathfinder, Status and notification integration</w:t>
      </w:r>
    </w:p>
    <w:p>
      <w:pPr>
        <w:pStyle w:val="Heading2"/>
        <w:keepNext/>
      </w:pPr>
      <w:r>
        <w:rPr>
          <w:rFonts w:ascii="Arial" w:hAnsi="Arial"/>
          <w:b/>
          <w:color w:val="39523B"/>
          <w:sz w:val="26"/>
        </w:rPr>
        <w:t>11.1 Pathfinder operator experience</w:t>
      </w:r>
    </w:p>
    <w:p>
      <w:pPr>
        <w:spacing w:before="0" w:after="120" w:line="264" w:lineRule="auto"/>
      </w:pPr>
      <w:r>
        <w:rPr>
          <w:rFonts w:ascii="Arial" w:hAnsi="Arial"/>
          <w:b w:val="0"/>
          <w:i w:val="0"/>
          <w:color w:val="191818"/>
          <w:sz w:val="22"/>
        </w:rPr>
        <w:t>Add a Proof panel to the Pathfinder order/job detail surface when a Lift order number exists. Operators can sync by direct order number, view counts/health, create a labeled grant, copy/resend the one-time link, revoke/regenerate access, inspect participants and decision counts, and open redacted audit. The Proof aggregate must still exist when the order was not originally created by Pathfinder.</w:t>
      </w:r>
    </w:p>
    <w:p>
      <w:pPr>
        <w:pStyle w:val="Heading2"/>
        <w:keepNext/>
      </w:pPr>
      <w:r>
        <w:rPr>
          <w:rFonts w:ascii="Arial" w:hAnsi="Arial"/>
          <w:b/>
          <w:color w:val="39523B"/>
          <w:sz w:val="26"/>
        </w:rPr>
        <w:t>11.2 Status relationship</w:t>
      </w:r>
    </w:p>
    <w:p>
      <w:pPr>
        <w:spacing w:before="0" w:after="120" w:line="264" w:lineRule="auto"/>
      </w:pPr>
      <w:r>
        <w:rPr>
          <w:rFonts w:ascii="Arial" w:hAnsi="Arial"/>
          <w:b w:val="0"/>
          <w:i w:val="0"/>
          <w:color w:val="191818"/>
          <w:sz w:val="22"/>
        </w:rPr>
        <w:t>Status remains the broad read-only order journey. Its proof links should eventually consume the same normalized Proof projection rather than maintaining a second normalization implementation. Status can display proof counts and approved/pending state, but it must not reuse a Status token as write authorization.</w:t>
      </w:r>
    </w:p>
    <w:p>
      <w:pPr>
        <w:spacing w:before="80" w:after="200" w:line="264" w:lineRule="auto"/>
        <w:ind w:left="115" w:right="115"/>
        <w:shd w:fill="EEF3EB"/>
        <w:pBdr>
          <w:left w:val="single" w:sz="18" w:space="8" w:color="39523B"/>
        </w:pBdr>
      </w:pPr>
      <w:r>
        <w:rPr>
          <w:rFonts w:ascii="Arial" w:hAnsi="Arial"/>
          <w:b/>
          <w:color w:val="39523B"/>
          <w:sz w:val="19"/>
        </w:rPr>
        <w:t xml:space="preserve">RECOMMENDED DEFAULT  </w:t>
      </w:r>
      <w:r>
        <w:rPr>
          <w:rFonts w:ascii="Arial" w:hAnsi="Arial"/>
          <w:color w:val="191818"/>
          <w:sz w:val="21"/>
        </w:rPr>
        <w:t>Send a dedicated Proof link when customer action is required. Status may show “Proof review required” and instruct the customer to use the proof email, or request a separate Proof grant through a verified bridge. Do not embed a reusable decision token inside the Status snapshot.</w:t>
      </w:r>
    </w:p>
    <w:p>
      <w:pPr>
        <w:pStyle w:val="Heading2"/>
        <w:keepNext/>
      </w:pPr>
      <w:r>
        <w:rPr>
          <w:rFonts w:ascii="Arial" w:hAnsi="Arial"/>
          <w:b/>
          <w:color w:val="39523B"/>
          <w:sz w:val="26"/>
        </w:rPr>
        <w:t>11.3 Events and email</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2800"/>
        <w:gridCol w:w="6560"/>
      </w:tblGrid>
      <w:tr>
        <w:trPr>
          <w:tblHeader w:val="true"/>
        </w:trPr>
        <w:tc>
          <w:tcPr>
            <w:tcW w:type="dxa" w:w="28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Event</w:t>
            </w:r>
          </w:p>
        </w:tc>
        <w:tc>
          <w:tcPr>
            <w:tcW w:type="dxa" w:w="65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Consumers / action</w:t>
            </w:r>
          </w:p>
        </w:tc>
      </w:tr>
      <w:tr>
        <w:tc>
          <w:tcPr>
            <w:tcW w:type="dxa" w:w="2800"/>
            <w:tcMar>
              <w:top w:w="80" w:type="dxa"/>
              <w:bottom w:w="80" w:type="dxa"/>
              <w:start w:w="120" w:type="dxa"/>
              <w:end w:w="120" w:type="dxa"/>
            </w:tcMar>
            <w:vAlign w:val="center"/>
          </w:tcPr>
          <w:p>
            <w:pPr>
              <w:spacing w:before="0" w:after="0" w:line="259" w:lineRule="auto"/>
            </w:pPr>
            <w:r>
              <w:rPr>
                <w:rFonts w:ascii="Arial" w:hAnsi="Arial"/>
                <w:color w:val="191818"/>
                <w:sz w:val="18"/>
              </w:rPr>
              <w:t>proof.ready</w:t>
            </w:r>
          </w:p>
        </w:tc>
        <w:tc>
          <w:tcPr>
            <w:tcW w:type="dxa" w:w="6560"/>
            <w:tcMar>
              <w:top w:w="80" w:type="dxa"/>
              <w:bottom w:w="80" w:type="dxa"/>
              <w:start w:w="120" w:type="dxa"/>
              <w:end w:w="120" w:type="dxa"/>
            </w:tcMar>
            <w:vAlign w:val="center"/>
          </w:tcPr>
          <w:p>
            <w:pPr>
              <w:spacing w:before="0" w:after="0" w:line="259" w:lineRule="auto"/>
            </w:pPr>
            <w:r>
              <w:rPr>
                <w:rFonts w:ascii="Arial" w:hAnsi="Arial"/>
                <w:color w:val="191818"/>
                <w:sz w:val="18"/>
              </w:rPr>
              <w:t>SES proof-ready link; Pathfinder order activity; Status summary refresh.</w:t>
            </w:r>
          </w:p>
        </w:tc>
      </w:tr>
      <w:tr>
        <w:tc>
          <w:tcPr>
            <w:tcW w:type="dxa" w:w="2800"/>
            <w:tcMar>
              <w:top w:w="80" w:type="dxa"/>
              <w:bottom w:w="80" w:type="dxa"/>
              <w:start w:w="120" w:type="dxa"/>
              <w:end w:w="120" w:type="dxa"/>
            </w:tcMar>
            <w:vAlign w:val="center"/>
          </w:tcPr>
          <w:p>
            <w:pPr>
              <w:spacing w:before="0" w:after="0" w:line="259" w:lineRule="auto"/>
            </w:pPr>
            <w:r>
              <w:rPr>
                <w:rFonts w:ascii="Arial" w:hAnsi="Arial"/>
                <w:color w:val="191818"/>
                <w:sz w:val="18"/>
              </w:rPr>
              <w:t>proof.changed</w:t>
            </w:r>
          </w:p>
        </w:tc>
        <w:tc>
          <w:tcPr>
            <w:tcW w:type="dxa" w:w="6560"/>
            <w:tcMar>
              <w:top w:w="80" w:type="dxa"/>
              <w:bottom w:w="80" w:type="dxa"/>
              <w:start w:w="120" w:type="dxa"/>
              <w:end w:w="120" w:type="dxa"/>
            </w:tcMar>
            <w:vAlign w:val="center"/>
          </w:tcPr>
          <w:p>
            <w:pPr>
              <w:spacing w:before="0" w:after="0" w:line="259" w:lineRule="auto"/>
            </w:pPr>
            <w:r>
              <w:rPr>
                <w:rFonts w:ascii="Arial" w:hAnsi="Arial"/>
                <w:color w:val="191818"/>
                <w:sz w:val="18"/>
              </w:rPr>
              <w:t>Refresh queue/version; notify only under configured policy.</w:t>
            </w:r>
          </w:p>
        </w:tc>
      </w:tr>
      <w:tr>
        <w:tc>
          <w:tcPr>
            <w:tcW w:type="dxa" w:w="2800"/>
            <w:tcMar>
              <w:top w:w="80" w:type="dxa"/>
              <w:bottom w:w="80" w:type="dxa"/>
              <w:start w:w="120" w:type="dxa"/>
              <w:end w:w="120" w:type="dxa"/>
            </w:tcMar>
            <w:vAlign w:val="center"/>
          </w:tcPr>
          <w:p>
            <w:pPr>
              <w:spacing w:before="0" w:after="0" w:line="259" w:lineRule="auto"/>
            </w:pPr>
            <w:r>
              <w:rPr>
                <w:rFonts w:ascii="Arial" w:hAnsi="Arial"/>
                <w:color w:val="191818"/>
                <w:sz w:val="18"/>
              </w:rPr>
              <w:t>proof.approved</w:t>
            </w:r>
          </w:p>
        </w:tc>
        <w:tc>
          <w:tcPr>
            <w:tcW w:type="dxa" w:w="6560"/>
            <w:tcMar>
              <w:top w:w="80" w:type="dxa"/>
              <w:bottom w:w="80" w:type="dxa"/>
              <w:start w:w="120" w:type="dxa"/>
              <w:end w:w="120" w:type="dxa"/>
            </w:tcMar>
            <w:vAlign w:val="center"/>
          </w:tcPr>
          <w:p>
            <w:pPr>
              <w:spacing w:before="0" w:after="0" w:line="259" w:lineRule="auto"/>
            </w:pPr>
            <w:r>
              <w:rPr>
                <w:rFonts w:ascii="Arial" w:hAnsi="Arial"/>
                <w:color w:val="191818"/>
                <w:sz w:val="18"/>
              </w:rPr>
              <w:t>Pathfinder audit/activity; update Status read model.</w:t>
            </w:r>
          </w:p>
        </w:tc>
      </w:tr>
      <w:tr>
        <w:tc>
          <w:tcPr>
            <w:tcW w:type="dxa" w:w="2800"/>
            <w:tcMar>
              <w:top w:w="80" w:type="dxa"/>
              <w:bottom w:w="80" w:type="dxa"/>
              <w:start w:w="120" w:type="dxa"/>
              <w:end w:w="120" w:type="dxa"/>
            </w:tcMar>
            <w:vAlign w:val="center"/>
          </w:tcPr>
          <w:p>
            <w:pPr>
              <w:spacing w:before="0" w:after="0" w:line="259" w:lineRule="auto"/>
            </w:pPr>
            <w:r>
              <w:rPr>
                <w:rFonts w:ascii="Arial" w:hAnsi="Arial"/>
                <w:color w:val="191818"/>
                <w:sz w:val="18"/>
              </w:rPr>
              <w:t>proof.revision_submitted</w:t>
            </w:r>
          </w:p>
        </w:tc>
        <w:tc>
          <w:tcPr>
            <w:tcW w:type="dxa" w:w="6560"/>
            <w:tcMar>
              <w:top w:w="80" w:type="dxa"/>
              <w:bottom w:w="80" w:type="dxa"/>
              <w:start w:w="120" w:type="dxa"/>
              <w:end w:w="120" w:type="dxa"/>
            </w:tcMar>
            <w:vAlign w:val="center"/>
          </w:tcPr>
          <w:p>
            <w:pPr>
              <w:spacing w:before="0" w:after="0" w:line="259" w:lineRule="auto"/>
            </w:pPr>
            <w:r>
              <w:rPr>
                <w:rFonts w:ascii="Arial" w:hAnsi="Arial"/>
                <w:color w:val="191818"/>
                <w:sz w:val="18"/>
              </w:rPr>
              <w:t>Operator visibility; Status displays regenerating state.</w:t>
            </w:r>
          </w:p>
        </w:tc>
      </w:tr>
      <w:tr>
        <w:tc>
          <w:tcPr>
            <w:tcW w:type="dxa" w:w="2800"/>
            <w:tcMar>
              <w:top w:w="80" w:type="dxa"/>
              <w:bottom w:w="80" w:type="dxa"/>
              <w:start w:w="120" w:type="dxa"/>
              <w:end w:w="120" w:type="dxa"/>
            </w:tcMar>
            <w:vAlign w:val="center"/>
          </w:tcPr>
          <w:p>
            <w:pPr>
              <w:spacing w:before="0" w:after="0" w:line="259" w:lineRule="auto"/>
            </w:pPr>
            <w:r>
              <w:rPr>
                <w:rFonts w:ascii="Arial" w:hAnsi="Arial"/>
                <w:color w:val="191818"/>
                <w:sz w:val="18"/>
              </w:rPr>
              <w:t>proof.all_approved</w:t>
            </w:r>
          </w:p>
        </w:tc>
        <w:tc>
          <w:tcPr>
            <w:tcW w:type="dxa" w:w="6560"/>
            <w:tcMar>
              <w:top w:w="80" w:type="dxa"/>
              <w:bottom w:w="80" w:type="dxa"/>
              <w:start w:w="120" w:type="dxa"/>
              <w:end w:w="120" w:type="dxa"/>
            </w:tcMar>
            <w:vAlign w:val="center"/>
          </w:tcPr>
          <w:p>
            <w:pPr>
              <w:spacing w:before="0" w:after="0" w:line="259" w:lineRule="auto"/>
            </w:pPr>
            <w:r>
              <w:rPr>
                <w:rFonts w:ascii="Arial" w:hAnsi="Arial"/>
                <w:color w:val="191818"/>
                <w:sz w:val="18"/>
              </w:rPr>
              <w:t>Pathfinder workflow callback; optional customer confirmation.</w:t>
            </w:r>
          </w:p>
        </w:tc>
      </w:tr>
      <w:tr>
        <w:tc>
          <w:tcPr>
            <w:tcW w:type="dxa" w:w="2800"/>
            <w:tcMar>
              <w:top w:w="80" w:type="dxa"/>
              <w:bottom w:w="80" w:type="dxa"/>
              <w:start w:w="120" w:type="dxa"/>
              <w:end w:w="120" w:type="dxa"/>
            </w:tcMar>
            <w:vAlign w:val="center"/>
          </w:tcPr>
          <w:p>
            <w:pPr>
              <w:spacing w:before="0" w:after="0" w:line="259" w:lineRule="auto"/>
            </w:pPr>
            <w:r>
              <w:rPr>
                <w:rFonts w:ascii="Arial" w:hAnsi="Arial"/>
                <w:color w:val="191818"/>
                <w:sz w:val="18"/>
              </w:rPr>
              <w:t>proof.sync_failed / lift.health_changed</w:t>
            </w:r>
          </w:p>
        </w:tc>
        <w:tc>
          <w:tcPr>
            <w:tcW w:type="dxa" w:w="6560"/>
            <w:tcMar>
              <w:top w:w="80" w:type="dxa"/>
              <w:bottom w:w="80" w:type="dxa"/>
              <w:start w:w="120" w:type="dxa"/>
              <w:end w:w="120" w:type="dxa"/>
            </w:tcMar>
            <w:vAlign w:val="center"/>
          </w:tcPr>
          <w:p>
            <w:pPr>
              <w:spacing w:before="0" w:after="0" w:line="259" w:lineRule="auto"/>
            </w:pPr>
            <w:r>
              <w:rPr>
                <w:rFonts w:ascii="Arial" w:hAnsi="Arial"/>
                <w:color w:val="191818"/>
                <w:sz w:val="18"/>
              </w:rPr>
              <w:t>CloudWatch alarm, operator dashboard, runbook.</w:t>
            </w:r>
          </w:p>
        </w:tc>
      </w:tr>
    </w:tbl>
    <w:p>
      <w:pPr>
        <w:spacing w:after="60"/>
      </w:pPr>
    </w:p>
    <w:p>
      <w:pPr>
        <w:spacing w:before="0" w:after="120" w:line="264" w:lineRule="auto"/>
      </w:pPr>
      <w:r>
        <w:rPr>
          <w:rFonts w:ascii="Arial" w:hAnsi="Arial"/>
          <w:b w:val="0"/>
          <w:i w:val="0"/>
          <w:color w:val="191818"/>
          <w:sz w:val="22"/>
        </w:rPr>
        <w:t>Extend the existing email transport with category proof_link. Use Vornan Updates &lt;notifications@notify.vornan.co&gt; with support@vornan.com Reply-To. Vornan owns that address and it is ready as a monitored Google Workspace group. Send HTML + text, disable click/open tracking on bearer links, retain masked delivery metadata, and never place the raw URL in production logs.</w:t>
      </w:r>
    </w:p>
    <w:p>
      <w:pPr>
        <w:pStyle w:val="Heading1"/>
        <w:keepNext/>
      </w:pPr>
      <w:r>
        <w:rPr>
          <w:rFonts w:ascii="Arial" w:hAnsi="Arial"/>
          <w:b/>
          <w:color w:val="39523B"/>
          <w:sz w:val="32"/>
        </w:rPr>
        <w:t>12. AWS and deployment blueprint</w:t>
      </w:r>
    </w:p>
    <w:p>
      <w:pPr>
        <w:pStyle w:val="Heading2"/>
        <w:keepNext/>
      </w:pPr>
      <w:r>
        <w:rPr>
          <w:rFonts w:ascii="Arial" w:hAnsi="Arial"/>
          <w:b/>
          <w:color w:val="39523B"/>
          <w:sz w:val="26"/>
        </w:rPr>
        <w:t>12.1 Dedicated Proof stack</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2600"/>
        <w:gridCol w:w="6760"/>
      </w:tblGrid>
      <w:tr>
        <w:trPr>
          <w:tblHeader w:val="true"/>
        </w:trPr>
        <w:tc>
          <w:tcPr>
            <w:tcW w:type="dxa" w:w="26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Resource</w:t>
            </w:r>
          </w:p>
        </w:tc>
        <w:tc>
          <w:tcPr>
            <w:tcW w:type="dxa" w:w="67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Recommendation</w:t>
            </w:r>
          </w:p>
        </w:tc>
      </w:tr>
      <w:tr>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8"/>
              </w:rPr>
              <w:t>Static web bucket</w:t>
            </w:r>
          </w:p>
        </w:tc>
        <w:tc>
          <w:tcPr>
            <w:tcW w:type="dxa" w:w="6760"/>
            <w:tcMar>
              <w:top w:w="80" w:type="dxa"/>
              <w:bottom w:w="80" w:type="dxa"/>
              <w:start w:w="120" w:type="dxa"/>
              <w:end w:w="120" w:type="dxa"/>
            </w:tcMar>
            <w:vAlign w:val="center"/>
          </w:tcPr>
          <w:p>
            <w:pPr>
              <w:spacing w:before="0" w:after="0" w:line="259" w:lineRule="auto"/>
            </w:pPr>
            <w:r>
              <w:rPr>
                <w:rFonts w:ascii="Arial" w:hAnsi="Arial"/>
                <w:color w:val="191818"/>
                <w:sz w:val="18"/>
              </w:rPr>
              <w:t>vornan-pathfinder-proof; private, versioned, encrypted, OAC only.</w:t>
            </w:r>
          </w:p>
        </w:tc>
      </w:tr>
      <w:tr>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8"/>
              </w:rPr>
              <w:t>App CloudFront</w:t>
            </w:r>
          </w:p>
        </w:tc>
        <w:tc>
          <w:tcPr>
            <w:tcW w:type="dxa" w:w="6760"/>
            <w:tcMar>
              <w:top w:w="80" w:type="dxa"/>
              <w:bottom w:w="80" w:type="dxa"/>
              <w:start w:w="120" w:type="dxa"/>
              <w:end w:w="120" w:type="dxa"/>
            </w:tcMar>
            <w:vAlign w:val="center"/>
          </w:tcPr>
          <w:p>
            <w:pPr>
              <w:spacing w:before="0" w:after="0" w:line="259" w:lineRule="auto"/>
            </w:pPr>
            <w:r>
              <w:rPr>
                <w:rFonts w:ascii="Arial" w:hAnsi="Arial"/>
                <w:color w:val="191818"/>
                <w:sz w:val="18"/>
              </w:rPr>
              <w:t>proof.vornan.co; SPA fallback; hashed assets long-cache; index no-cache; custom CSP/security policy; WAF.</w:t>
            </w:r>
          </w:p>
        </w:tc>
      </w:tr>
      <w:tr>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8"/>
              </w:rPr>
              <w:t>Public API</w:t>
            </w:r>
          </w:p>
        </w:tc>
        <w:tc>
          <w:tcPr>
            <w:tcW w:type="dxa" w:w="6760"/>
            <w:tcMar>
              <w:top w:w="80" w:type="dxa"/>
              <w:bottom w:w="80" w:type="dxa"/>
              <w:start w:w="120" w:type="dxa"/>
              <w:end w:w="120" w:type="dxa"/>
            </w:tcMar>
            <w:vAlign w:val="center"/>
          </w:tcPr>
          <w:p>
            <w:pPr>
              <w:spacing w:before="0" w:after="0" w:line="259" w:lineRule="auto"/>
            </w:pPr>
            <w:r>
              <w:rPr>
                <w:rFonts w:ascii="Arial" w:hAnsi="Arial"/>
                <w:color w:val="191818"/>
                <w:sz w:val="18"/>
              </w:rPr>
              <w:t>Dedicated routes/functions behind same-origin CloudFront /api behavior; independent reserved concurrency and IAM.</w:t>
            </w:r>
          </w:p>
        </w:tc>
      </w:tr>
      <w:tr>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8"/>
              </w:rPr>
              <w:t>Core DynamoDB</w:t>
            </w:r>
          </w:p>
        </w:tc>
        <w:tc>
          <w:tcPr>
            <w:tcW w:type="dxa" w:w="6760"/>
            <w:tcMar>
              <w:top w:w="80" w:type="dxa"/>
              <w:bottom w:w="80" w:type="dxa"/>
              <w:start w:w="120" w:type="dxa"/>
              <w:end w:w="120" w:type="dxa"/>
            </w:tcMar>
            <w:vAlign w:val="center"/>
          </w:tcPr>
          <w:p>
            <w:pPr>
              <w:spacing w:before="0" w:after="0" w:line="259" w:lineRule="auto"/>
            </w:pPr>
            <w:r>
              <w:rPr>
                <w:rFonts w:ascii="Arial" w:hAnsi="Arial"/>
                <w:color w:val="191818"/>
                <w:sz w:val="18"/>
              </w:rPr>
              <w:t>Pathfinder-ProofCore-prod, on-demand, SSE, PITR, GSIs.</w:t>
            </w:r>
          </w:p>
        </w:tc>
      </w:tr>
      <w:tr>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8"/>
              </w:rPr>
              <w:t>Audit DynamoDB</w:t>
            </w:r>
          </w:p>
        </w:tc>
        <w:tc>
          <w:tcPr>
            <w:tcW w:type="dxa" w:w="6760"/>
            <w:tcMar>
              <w:top w:w="80" w:type="dxa"/>
              <w:bottom w:w="80" w:type="dxa"/>
              <w:start w:w="120" w:type="dxa"/>
              <w:end w:w="120" w:type="dxa"/>
            </w:tcMar>
            <w:vAlign w:val="center"/>
          </w:tcPr>
          <w:p>
            <w:pPr>
              <w:spacing w:before="0" w:after="0" w:line="259" w:lineRule="auto"/>
            </w:pPr>
            <w:r>
              <w:rPr>
                <w:rFonts w:ascii="Arial" w:hAnsi="Arial"/>
                <w:color w:val="191818"/>
                <w:sz w:val="18"/>
              </w:rPr>
              <w:t>Pathfinder-ProofAudit-prod or restricted event stream when retention/access differs.</w:t>
            </w:r>
          </w:p>
        </w:tc>
      </w:tr>
      <w:tr>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8"/>
              </w:rPr>
              <w:t>Asset bucket</w:t>
            </w:r>
          </w:p>
        </w:tc>
        <w:tc>
          <w:tcPr>
            <w:tcW w:type="dxa" w:w="6760"/>
            <w:tcMar>
              <w:top w:w="80" w:type="dxa"/>
              <w:bottom w:w="80" w:type="dxa"/>
              <w:start w:w="120" w:type="dxa"/>
              <w:end w:w="120" w:type="dxa"/>
            </w:tcMar>
            <w:vAlign w:val="center"/>
          </w:tcPr>
          <w:p>
            <w:pPr>
              <w:spacing w:before="0" w:after="0" w:line="259" w:lineRule="auto"/>
            </w:pPr>
            <w:r>
              <w:rPr>
                <w:rFonts w:ascii="Arial" w:hAnsi="Arial"/>
                <w:color w:val="191818"/>
                <w:sz w:val="18"/>
              </w:rPr>
              <w:t>vornan-pathfinder-proof-assets; private revisions, thumbnails, outbound copies.</w:t>
            </w:r>
          </w:p>
        </w:tc>
      </w:tr>
      <w:tr>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8"/>
              </w:rPr>
              <w:t>Asset CloudFront</w:t>
            </w:r>
          </w:p>
        </w:tc>
        <w:tc>
          <w:tcPr>
            <w:tcW w:type="dxa" w:w="6760"/>
            <w:tcMar>
              <w:top w:w="80" w:type="dxa"/>
              <w:bottom w:w="80" w:type="dxa"/>
              <w:start w:w="120" w:type="dxa"/>
              <w:end w:w="120" w:type="dxa"/>
            </w:tcMar>
            <w:vAlign w:val="center"/>
          </w:tcPr>
          <w:p>
            <w:pPr>
              <w:spacing w:before="0" w:after="0" w:line="259" w:lineRule="auto"/>
            </w:pPr>
            <w:r>
              <w:rPr>
                <w:rFonts w:ascii="Arial" w:hAnsi="Arial"/>
                <w:color w:val="191818"/>
                <w:sz w:val="18"/>
              </w:rPr>
              <w:t>Trusted key group; direct signed Lift downloads; optional proof-assets.vornan.co.</w:t>
            </w:r>
          </w:p>
        </w:tc>
      </w:tr>
      <w:tr>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8"/>
              </w:rPr>
              <w:t>Queues</w:t>
            </w:r>
          </w:p>
        </w:tc>
        <w:tc>
          <w:tcPr>
            <w:tcW w:type="dxa" w:w="6760"/>
            <w:tcMar>
              <w:top w:w="80" w:type="dxa"/>
              <w:bottom w:w="80" w:type="dxa"/>
              <w:start w:w="120" w:type="dxa"/>
              <w:end w:w="120" w:type="dxa"/>
            </w:tcMar>
            <w:vAlign w:val="center"/>
          </w:tcPr>
          <w:p>
            <w:pPr>
              <w:spacing w:before="0" w:after="0" w:line="259" w:lineRule="auto"/>
            </w:pPr>
            <w:r>
              <w:rPr>
                <w:rFonts w:ascii="Arial" w:hAnsi="Arial"/>
                <w:color w:val="191818"/>
                <w:sz w:val="18"/>
              </w:rPr>
              <w:t>Sync/reconciliation queue + DLQ; optional separate file-validation queue.</w:t>
            </w:r>
          </w:p>
        </w:tc>
      </w:tr>
      <w:tr>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8"/>
              </w:rPr>
              <w:t>EventBridge</w:t>
            </w:r>
          </w:p>
        </w:tc>
        <w:tc>
          <w:tcPr>
            <w:tcW w:type="dxa" w:w="6760"/>
            <w:tcMar>
              <w:top w:w="80" w:type="dxa"/>
              <w:bottom w:w="80" w:type="dxa"/>
              <w:start w:w="120" w:type="dxa"/>
              <w:end w:w="120" w:type="dxa"/>
            </w:tcMar>
            <w:vAlign w:val="center"/>
          </w:tcPr>
          <w:p>
            <w:pPr>
              <w:spacing w:before="0" w:after="0" w:line="259" w:lineRule="auto"/>
            </w:pPr>
            <w:r>
              <w:rPr>
                <w:rFonts w:ascii="Arial" w:hAnsi="Arial"/>
                <w:color w:val="191818"/>
                <w:sz w:val="18"/>
              </w:rPr>
              <w:t>Scheduled active-order refresh, retention jobs, domain events.</w:t>
            </w:r>
          </w:p>
        </w:tc>
      </w:tr>
      <w:tr>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8"/>
              </w:rPr>
              <w:t>Secrets</w:t>
            </w:r>
          </w:p>
        </w:tc>
        <w:tc>
          <w:tcPr>
            <w:tcW w:type="dxa" w:w="6760"/>
            <w:tcMar>
              <w:top w:w="80" w:type="dxa"/>
              <w:bottom w:w="80" w:type="dxa"/>
              <w:start w:w="120" w:type="dxa"/>
              <w:end w:w="120" w:type="dxa"/>
            </w:tcMar>
            <w:vAlign w:val="center"/>
          </w:tcPr>
          <w:p>
            <w:pPr>
              <w:spacing w:before="0" w:after="0" w:line="259" w:lineRule="auto"/>
            </w:pPr>
            <w:r>
              <w:rPr>
                <w:rFonts w:ascii="Arial" w:hAnsi="Arial"/>
                <w:color w:val="191818"/>
                <w:sz w:val="18"/>
              </w:rPr>
              <w:t>/vornan/pathfinder/integrations/lift-proof/{stage}; CloudFront signing private key; callback secret.</w:t>
            </w:r>
          </w:p>
        </w:tc>
      </w:tr>
      <w:tr>
        <w:tc>
          <w:tcPr>
            <w:tcW w:type="dxa" w:w="2600"/>
            <w:tcMar>
              <w:top w:w="80" w:type="dxa"/>
              <w:bottom w:w="80" w:type="dxa"/>
              <w:start w:w="120" w:type="dxa"/>
              <w:end w:w="120" w:type="dxa"/>
            </w:tcMar>
            <w:vAlign w:val="center"/>
          </w:tcPr>
          <w:p>
            <w:pPr>
              <w:spacing w:before="0" w:after="0" w:line="259" w:lineRule="auto"/>
            </w:pPr>
            <w:r>
              <w:rPr>
                <w:rFonts w:ascii="Arial" w:hAnsi="Arial"/>
                <w:color w:val="191818"/>
                <w:sz w:val="18"/>
              </w:rPr>
              <w:t>Observability</w:t>
            </w:r>
          </w:p>
        </w:tc>
        <w:tc>
          <w:tcPr>
            <w:tcW w:type="dxa" w:w="6760"/>
            <w:tcMar>
              <w:top w:w="80" w:type="dxa"/>
              <w:bottom w:w="80" w:type="dxa"/>
              <w:start w:w="120" w:type="dxa"/>
              <w:end w:w="120" w:type="dxa"/>
            </w:tcMar>
            <w:vAlign w:val="center"/>
          </w:tcPr>
          <w:p>
            <w:pPr>
              <w:spacing w:before="0" w:after="0" w:line="259" w:lineRule="auto"/>
            </w:pPr>
            <w:r>
              <w:rPr>
                <w:rFonts w:ascii="Arial" w:hAnsi="Arial"/>
                <w:color w:val="191818"/>
                <w:sz w:val="18"/>
              </w:rPr>
              <w:t>CloudWatch logs, metrics, alarms, dashboard; SES event publishing reuse.</w:t>
            </w:r>
          </w:p>
        </w:tc>
      </w:tr>
    </w:tbl>
    <w:p>
      <w:pPr>
        <w:spacing w:after="60"/>
      </w:pPr>
    </w:p>
    <w:p>
      <w:pPr>
        <w:pStyle w:val="Heading2"/>
        <w:keepNext/>
      </w:pPr>
      <w:r>
        <w:rPr>
          <w:rFonts w:ascii="Arial" w:hAnsi="Arial"/>
          <w:b/>
          <w:color w:val="39523B"/>
          <w:sz w:val="26"/>
        </w:rPr>
        <w:t>12.2 IaC and deployment approach</w:t>
      </w:r>
    </w:p>
    <w:p>
      <w:pPr>
        <w:spacing w:before="0" w:after="120" w:line="264" w:lineRule="auto"/>
      </w:pPr>
      <w:r>
        <w:rPr>
          <w:rFonts w:ascii="Arial" w:hAnsi="Arial"/>
          <w:b w:val="0"/>
          <w:i w:val="0"/>
          <w:color w:val="191818"/>
          <w:sz w:val="22"/>
        </w:rPr>
        <w:t>Create infra/aws/proof-cloudformation.yaml instead of expanding web-cloudformation.yaml indefinitely. A dedicated stack preserves Proof’s different security headers, WAF, asset lifecycle, queues and rollback cadence. Reuse the existing shell/deploy and GitHub OIDC conventions. Add separate dev, QA and production parameters; QA must not silently point to production Lift endpoints.</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3100"/>
        <w:gridCol w:w="6260"/>
      </w:tblGrid>
      <w:tr>
        <w:trPr>
          <w:tblHeader w:val="true"/>
        </w:trPr>
        <w:tc>
          <w:tcPr>
            <w:tcW w:type="dxa" w:w="31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Domain</w:t>
            </w:r>
          </w:p>
        </w:tc>
        <w:tc>
          <w:tcPr>
            <w:tcW w:type="dxa" w:w="62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DNS / certificate</w:t>
            </w:r>
          </w:p>
        </w:tc>
      </w:tr>
      <w:tr>
        <w:tc>
          <w:tcPr>
            <w:tcW w:type="dxa" w:w="3100"/>
            <w:tcMar>
              <w:top w:w="80" w:type="dxa"/>
              <w:bottom w:w="80" w:type="dxa"/>
              <w:start w:w="120" w:type="dxa"/>
              <w:end w:w="120" w:type="dxa"/>
            </w:tcMar>
            <w:vAlign w:val="center"/>
          </w:tcPr>
          <w:p>
            <w:pPr>
              <w:spacing w:before="0" w:after="0" w:line="259" w:lineRule="auto"/>
            </w:pPr>
            <w:r>
              <w:rPr>
                <w:rFonts w:ascii="Arial" w:hAnsi="Arial"/>
                <w:color w:val="191818"/>
                <w:sz w:val="18"/>
              </w:rPr>
              <w:t>proof.vornan.co</w:t>
            </w:r>
          </w:p>
        </w:tc>
        <w:tc>
          <w:tcPr>
            <w:tcW w:type="dxa" w:w="6260"/>
            <w:tcMar>
              <w:top w:w="80" w:type="dxa"/>
              <w:bottom w:w="80" w:type="dxa"/>
              <w:start w:w="120" w:type="dxa"/>
              <w:end w:w="120" w:type="dxa"/>
            </w:tcMar>
            <w:vAlign w:val="center"/>
          </w:tcPr>
          <w:p>
            <w:pPr>
              <w:spacing w:before="0" w:after="0" w:line="259" w:lineRule="auto"/>
            </w:pPr>
            <w:r>
              <w:rPr>
                <w:rFonts w:ascii="Arial" w:hAnsi="Arial"/>
                <w:color w:val="191818"/>
                <w:sz w:val="18"/>
              </w:rPr>
              <w:t>Cloudflare CNAME to Proof CloudFront; DNS-only initially; ACM certificate in us-east-1.</w:t>
            </w:r>
          </w:p>
        </w:tc>
      </w:tr>
      <w:tr>
        <w:tc>
          <w:tcPr>
            <w:tcW w:type="dxa" w:w="3100"/>
            <w:tcMar>
              <w:top w:w="80" w:type="dxa"/>
              <w:bottom w:w="80" w:type="dxa"/>
              <w:start w:w="120" w:type="dxa"/>
              <w:end w:w="120" w:type="dxa"/>
            </w:tcMar>
            <w:vAlign w:val="center"/>
          </w:tcPr>
          <w:p>
            <w:pPr>
              <w:spacing w:before="0" w:after="0" w:line="259" w:lineRule="auto"/>
            </w:pPr>
            <w:r>
              <w:rPr>
                <w:rFonts w:ascii="Arial" w:hAnsi="Arial"/>
                <w:color w:val="191818"/>
                <w:sz w:val="18"/>
              </w:rPr>
              <w:t>proof-assets.vornan.co (optional)</w:t>
            </w:r>
          </w:p>
        </w:tc>
        <w:tc>
          <w:tcPr>
            <w:tcW w:type="dxa" w:w="6260"/>
            <w:tcMar>
              <w:top w:w="80" w:type="dxa"/>
              <w:bottom w:w="80" w:type="dxa"/>
              <w:start w:w="120" w:type="dxa"/>
              <w:end w:w="120" w:type="dxa"/>
            </w:tcMar>
            <w:vAlign w:val="center"/>
          </w:tcPr>
          <w:p>
            <w:pPr>
              <w:spacing w:before="0" w:after="0" w:line="259" w:lineRule="auto"/>
            </w:pPr>
            <w:r>
              <w:rPr>
                <w:rFonts w:ascii="Arial" w:hAnsi="Arial"/>
                <w:color w:val="191818"/>
                <w:sz w:val="18"/>
              </w:rPr>
              <w:t>Separate CloudFront asset alias; certificate must explicitly cover it.</w:t>
            </w:r>
          </w:p>
        </w:tc>
      </w:tr>
      <w:tr>
        <w:tc>
          <w:tcPr>
            <w:tcW w:type="dxa" w:w="3100"/>
            <w:tcMar>
              <w:top w:w="80" w:type="dxa"/>
              <w:bottom w:w="80" w:type="dxa"/>
              <w:start w:w="120" w:type="dxa"/>
              <w:end w:w="120" w:type="dxa"/>
            </w:tcMar>
            <w:vAlign w:val="center"/>
          </w:tcPr>
          <w:p>
            <w:pPr>
              <w:spacing w:before="0" w:after="0" w:line="259" w:lineRule="auto"/>
            </w:pPr>
            <w:r>
              <w:rPr>
                <w:rFonts w:ascii="Arial" w:hAnsi="Arial"/>
                <w:color w:val="191818"/>
                <w:sz w:val="18"/>
              </w:rPr>
              <w:t>api.pathfinder.vornan.co</w:t>
            </w:r>
          </w:p>
        </w:tc>
        <w:tc>
          <w:tcPr>
            <w:tcW w:type="dxa" w:w="6260"/>
            <w:tcMar>
              <w:top w:w="80" w:type="dxa"/>
              <w:bottom w:w="80" w:type="dxa"/>
              <w:start w:w="120" w:type="dxa"/>
              <w:end w:w="120" w:type="dxa"/>
            </w:tcMar>
            <w:vAlign w:val="center"/>
          </w:tcPr>
          <w:p>
            <w:pPr>
              <w:spacing w:before="0" w:after="0" w:line="259" w:lineRule="auto"/>
            </w:pPr>
            <w:r>
              <w:rPr>
                <w:rFonts w:ascii="Arial" w:hAnsi="Arial"/>
                <w:color w:val="191818"/>
                <w:sz w:val="18"/>
              </w:rPr>
              <w:t>Continue for authenticated admin routes; public browser path may remain same-origin through Proof CloudFront.</w:t>
            </w:r>
          </w:p>
        </w:tc>
      </w:tr>
      <w:tr>
        <w:tc>
          <w:tcPr>
            <w:tcW w:type="dxa" w:w="3100"/>
            <w:tcMar>
              <w:top w:w="80" w:type="dxa"/>
              <w:bottom w:w="80" w:type="dxa"/>
              <w:start w:w="120" w:type="dxa"/>
              <w:end w:w="120" w:type="dxa"/>
            </w:tcMar>
            <w:vAlign w:val="center"/>
          </w:tcPr>
          <w:p>
            <w:pPr>
              <w:spacing w:before="0" w:after="0" w:line="259" w:lineRule="auto"/>
            </w:pPr>
            <w:r>
              <w:rPr>
                <w:rFonts w:ascii="Arial" w:hAnsi="Arial"/>
                <w:color w:val="191818"/>
                <w:sz w:val="18"/>
              </w:rPr>
              <w:t>go.vornan.co (optional)</w:t>
            </w:r>
          </w:p>
        </w:tc>
        <w:tc>
          <w:tcPr>
            <w:tcW w:type="dxa" w:w="6260"/>
            <w:tcMar>
              <w:top w:w="80" w:type="dxa"/>
              <w:bottom w:w="80" w:type="dxa"/>
              <w:start w:w="120" w:type="dxa"/>
              <w:end w:w="120" w:type="dxa"/>
            </w:tcMar>
            <w:vAlign w:val="center"/>
          </w:tcPr>
          <w:p>
            <w:pPr>
              <w:spacing w:before="0" w:after="0" w:line="259" w:lineRule="auto"/>
            </w:pPr>
            <w:r>
              <w:rPr>
                <w:rFonts w:ascii="Arial" w:hAnsi="Arial"/>
                <w:color w:val="191818"/>
                <w:sz w:val="18"/>
              </w:rPr>
              <w:t>Safe locator only; redirect solely to approved proof fragment URLs; no asset redirection.</w:t>
            </w:r>
          </w:p>
        </w:tc>
      </w:tr>
    </w:tbl>
    <w:p>
      <w:pPr>
        <w:spacing w:after="60"/>
      </w:pPr>
    </w:p>
    <w:p>
      <w:pPr>
        <w:pStyle w:val="Heading2"/>
        <w:keepNext/>
      </w:pPr>
      <w:r>
        <w:rPr>
          <w:rFonts w:ascii="Arial" w:hAnsi="Arial"/>
          <w:b/>
          <w:color w:val="39523B"/>
          <w:sz w:val="26"/>
        </w:rPr>
        <w:t>12.3 Required configuration</w:t>
      </w:r>
    </w:p>
    <w:p>
      <w:pPr>
        <w:spacing w:before="80" w:after="160" w:line="240" w:lineRule="auto"/>
        <w:ind w:left="259" w:right="259"/>
        <w:shd w:fill="F4F5F2"/>
      </w:pPr>
      <w:r>
        <w:rPr>
          <w:rFonts w:ascii="Menlo" w:hAnsi="Menlo"/>
          <w:color w:val="191818"/>
          <w:sz w:val="17"/>
        </w:rPr>
        <w:t>VITE_PROOF_API_BASE_URL=/api</w:t>
        <w:br/>
      </w:r>
      <w:r>
        <w:rPr>
          <w:rFonts w:ascii="Menlo" w:hAnsi="Menlo"/>
          <w:color w:val="191818"/>
          <w:sz w:val="17"/>
        </w:rPr>
        <w:t>PATHFINDER_PROOF_BASE_URL=https://proof.vornan.co</w:t>
        <w:br/>
      </w:r>
      <w:r>
        <w:rPr>
          <w:rFonts w:ascii="Menlo" w:hAnsi="Menlo"/>
          <w:color w:val="191818"/>
          <w:sz w:val="17"/>
        </w:rPr>
        <w:t>PATHFINDER_PROOF_ALLOWED_ORIGINS=https://proof.vornan.co</w:t>
        <w:br/>
      </w:r>
      <w:r>
        <w:rPr>
          <w:rFonts w:ascii="Menlo" w:hAnsi="Menlo"/>
          <w:color w:val="191818"/>
          <w:sz w:val="17"/>
        </w:rPr>
        <w:t>PATHFINDER_PROOF_DEFAULT_GRANT_DAYS=&lt;decision&gt;</w:t>
        <w:br/>
      </w:r>
      <w:r>
        <w:rPr>
          <w:rFonts w:ascii="Menlo" w:hAnsi="Menlo"/>
          <w:color w:val="191818"/>
          <w:sz w:val="17"/>
        </w:rPr>
        <w:t>PATHFINDER_PROOF_REQUIRE_IDENTITY=&lt;decision&gt;</w:t>
        <w:br/>
      </w:r>
      <w:r>
        <w:rPr>
          <w:rFonts w:ascii="Menlo" w:hAnsi="Menlo"/>
          <w:color w:val="191818"/>
          <w:sz w:val="17"/>
        </w:rPr>
        <w:t>PATHFINDER_PROOF_STORAGE_DRIVER=dynamodb</w:t>
        <w:br/>
      </w:r>
      <w:r>
        <w:rPr>
          <w:rFonts w:ascii="Menlo" w:hAnsi="Menlo"/>
          <w:color w:val="191818"/>
          <w:sz w:val="17"/>
        </w:rPr>
        <w:t>PATHFINDER_PROOF_CORE_TABLE=Pathfinder-ProofCore-prod</w:t>
        <w:br/>
      </w:r>
      <w:r>
        <w:rPr>
          <w:rFonts w:ascii="Menlo" w:hAnsi="Menlo"/>
          <w:color w:val="191818"/>
          <w:sz w:val="17"/>
        </w:rPr>
        <w:t>PATHFINDER_PROOF_AUDIT_TABLE=Pathfinder-ProofAudit-prod</w:t>
        <w:br/>
      </w:r>
      <w:r>
        <w:rPr>
          <w:rFonts w:ascii="Menlo" w:hAnsi="Menlo"/>
          <w:color w:val="191818"/>
          <w:sz w:val="17"/>
        </w:rPr>
        <w:t>PATHFINDER_PROOF_ASSETS_BUCKET=vornan-pathfinder-proof-assets</w:t>
        <w:br/>
      </w:r>
      <w:r>
        <w:rPr>
          <w:rFonts w:ascii="Menlo" w:hAnsi="Menlo"/>
          <w:color w:val="191818"/>
          <w:sz w:val="17"/>
        </w:rPr>
        <w:t>PATHFINDER_PROOF_SYNC_QUEUE_URL=&lt;stack output&gt;</w:t>
        <w:br/>
      </w:r>
      <w:r>
        <w:rPr>
          <w:rFonts w:ascii="Menlo" w:hAnsi="Menlo"/>
          <w:color w:val="191818"/>
          <w:sz w:val="17"/>
        </w:rPr>
        <w:t>PATHFINDER_LIFT_PROOF_SECRET_ID=/vornan/pathfinder/integrations/lift-proof/prod</w:t>
        <w:br/>
      </w:r>
    </w:p>
    <w:p>
      <w:pPr>
        <w:pStyle w:val="Heading1"/>
        <w:keepNext/>
      </w:pPr>
      <w:r>
        <w:rPr>
          <w:rFonts w:ascii="Arial" w:hAnsi="Arial"/>
          <w:b/>
          <w:color w:val="39523B"/>
          <w:sz w:val="32"/>
        </w:rPr>
        <w:t>13. Synchronization, reliability and operations</w:t>
      </w:r>
    </w:p>
    <w:p>
      <w:pPr>
        <w:pStyle w:val="Heading2"/>
        <w:keepNext/>
      </w:pPr>
      <w:r>
        <w:rPr>
          <w:rFonts w:ascii="Arial" w:hAnsi="Arial"/>
          <w:b/>
          <w:color w:val="39523B"/>
          <w:sz w:val="26"/>
        </w:rPr>
        <w:t>13.1 Refresh policy</w:t>
      </w:r>
    </w:p>
    <w:p>
      <w:pPr>
        <w:spacing w:before="0" w:after="120" w:line="264" w:lineRule="auto"/>
      </w:pPr>
      <w:r>
        <w:rPr>
          <w:rFonts w:ascii="Arial" w:hAnsi="Arial"/>
          <w:b w:val="0"/>
          <w:i w:val="0"/>
          <w:color w:val="191818"/>
          <w:sz w:val="22"/>
        </w:rPr>
        <w:t>Start with the proven 15-minute stale threshold for interactive orders and stop automatic polling after 14 days without proof change. Grant creation performs the first sync. Session load returns cached state immediately and queues refresh when stale. Manual refresh remains available. Completed/reference orders do not require continuous polling.</w:t>
      </w:r>
    </w:p>
    <w:p>
      <w:pPr>
        <w:pStyle w:val="Heading2"/>
        <w:keepNext/>
      </w:pPr>
      <w:r>
        <w:rPr>
          <w:rFonts w:ascii="Arial" w:hAnsi="Arial"/>
          <w:b/>
          <w:color w:val="39523B"/>
          <w:sz w:val="26"/>
        </w:rPr>
        <w:t>13.2 Failure containment</w:t>
      </w:r>
    </w:p>
    <w:p>
      <w:pPr>
        <w:pStyle w:val="VornanBullet"/>
        <w:spacing w:after="160" w:line="280" w:lineRule="auto"/>
        <w:ind w:left="720" w:hanging="360"/>
      </w:pPr>
      <w:r>
        <w:rPr>
          <w:rFonts w:ascii="Arial" w:hAnsi="Arial"/>
          <w:color w:val="191818"/>
          <w:sz w:val="21"/>
        </w:rPr>
        <w:t>A read failure never erases existing tasks, URLs, history, revisions, grants or audit.</w:t>
      </w:r>
    </w:p>
    <w:p>
      <w:pPr>
        <w:pStyle w:val="VornanBullet"/>
        <w:spacing w:after="160" w:line="280" w:lineRule="auto"/>
        <w:ind w:left="720" w:hanging="360"/>
      </w:pPr>
      <w:r>
        <w:rPr>
          <w:rFonts w:ascii="Arial" w:hAnsi="Arial"/>
          <w:color w:val="191818"/>
          <w:sz w:val="21"/>
        </w:rPr>
        <w:t>A missing Lift order becomes a health state; it is not automatic deletion or cancellation.</w:t>
      </w:r>
    </w:p>
    <w:p>
      <w:pPr>
        <w:pStyle w:val="VornanBullet"/>
        <w:spacing w:after="160" w:line="280" w:lineRule="auto"/>
        <w:ind w:left="720" w:hanging="360"/>
      </w:pPr>
      <w:r>
        <w:rPr>
          <w:rFonts w:ascii="Arial" w:hAnsi="Arial"/>
          <w:color w:val="191818"/>
          <w:sz w:val="21"/>
        </w:rPr>
        <w:t>A failed Lift write never marks a task approved locally.</w:t>
      </w:r>
    </w:p>
    <w:p>
      <w:pPr>
        <w:pStyle w:val="VornanBullet"/>
        <w:spacing w:after="160" w:line="280" w:lineRule="auto"/>
        <w:ind w:left="720" w:hanging="360"/>
      </w:pPr>
      <w:r>
        <w:rPr>
          <w:rFonts w:ascii="Arial" w:hAnsi="Arial"/>
          <w:color w:val="191818"/>
          <w:sz w:val="21"/>
        </w:rPr>
        <w:t>A successful write with failed refresh becomes reconciling/accepted, then a worker establishes the stable state.</w:t>
      </w:r>
    </w:p>
    <w:p>
      <w:pPr>
        <w:pStyle w:val="VornanBullet"/>
        <w:spacing w:after="160" w:line="280" w:lineRule="auto"/>
        <w:ind w:left="720" w:hanging="360"/>
      </w:pPr>
      <w:r>
        <w:rPr>
          <w:rFonts w:ascii="Arial" w:hAnsi="Arial"/>
          <w:color w:val="191818"/>
          <w:sz w:val="21"/>
        </w:rPr>
        <w:t>SQS retries read/sync work; they do not blindly replay customer decisions.</w:t>
      </w:r>
    </w:p>
    <w:p>
      <w:pPr>
        <w:pStyle w:val="VornanBullet"/>
        <w:spacing w:after="160" w:line="280" w:lineRule="auto"/>
        <w:ind w:left="720" w:hanging="360"/>
      </w:pPr>
      <w:r>
        <w:rPr>
          <w:rFonts w:ascii="Arial" w:hAnsi="Arial"/>
          <w:color w:val="191818"/>
          <w:sz w:val="21"/>
        </w:rPr>
        <w:t>DLQ alarms carry order/task/correlation identifiers and a runbook link, not sensitive creative or tokens.</w:t>
      </w:r>
    </w:p>
    <w:p>
      <w:pPr>
        <w:pStyle w:val="Heading2"/>
        <w:keepNext/>
      </w:pPr>
      <w:r>
        <w:rPr>
          <w:rFonts w:ascii="Arial" w:hAnsi="Arial"/>
          <w:b/>
          <w:color w:val="39523B"/>
          <w:sz w:val="26"/>
        </w:rPr>
        <w:t>13.3 Metrics and SLOs</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3600"/>
        <w:gridCol w:w="5760"/>
      </w:tblGrid>
      <w:tr>
        <w:trPr>
          <w:tblHeader w:val="true"/>
        </w:trPr>
        <w:tc>
          <w:tcPr>
            <w:tcW w:type="dxa" w:w="36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Measure</w:t>
            </w:r>
          </w:p>
        </w:tc>
        <w:tc>
          <w:tcPr>
            <w:tcW w:type="dxa" w:w="57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Initial target / alarm</w:t>
            </w:r>
          </w:p>
        </w:tc>
      </w:tr>
      <w:tr>
        <w:tc>
          <w:tcPr>
            <w:tcW w:type="dxa" w:w="3600"/>
            <w:tcMar>
              <w:top w:w="80" w:type="dxa"/>
              <w:bottom w:w="80" w:type="dxa"/>
              <w:start w:w="120" w:type="dxa"/>
              <w:end w:w="120" w:type="dxa"/>
            </w:tcMar>
            <w:vAlign w:val="center"/>
          </w:tcPr>
          <w:p>
            <w:pPr>
              <w:spacing w:before="0" w:after="0" w:line="259" w:lineRule="auto"/>
            </w:pPr>
            <w:r>
              <w:rPr>
                <w:rFonts w:ascii="Arial" w:hAnsi="Arial"/>
                <w:color w:val="191818"/>
                <w:sz w:val="18"/>
              </w:rPr>
              <w:t>Cached public read</w:t>
            </w:r>
          </w:p>
        </w:tc>
        <w:tc>
          <w:tcPr>
            <w:tcW w:type="dxa" w:w="5760"/>
            <w:tcMar>
              <w:top w:w="80" w:type="dxa"/>
              <w:bottom w:w="80" w:type="dxa"/>
              <w:start w:w="120" w:type="dxa"/>
              <w:end w:w="120" w:type="dxa"/>
            </w:tcMar>
            <w:vAlign w:val="center"/>
          </w:tcPr>
          <w:p>
            <w:pPr>
              <w:spacing w:before="0" w:after="0" w:line="259" w:lineRule="auto"/>
            </w:pPr>
            <w:r>
              <w:rPr>
                <w:rFonts w:ascii="Arial" w:hAnsi="Arial"/>
                <w:color w:val="191818"/>
                <w:sz w:val="18"/>
              </w:rPr>
              <w:t>p95 &lt; 750 ms.</w:t>
            </w:r>
          </w:p>
        </w:tc>
      </w:tr>
      <w:tr>
        <w:tc>
          <w:tcPr>
            <w:tcW w:type="dxa" w:w="3600"/>
            <w:tcMar>
              <w:top w:w="80" w:type="dxa"/>
              <w:bottom w:w="80" w:type="dxa"/>
              <w:start w:w="120" w:type="dxa"/>
              <w:end w:w="120" w:type="dxa"/>
            </w:tcMar>
            <w:vAlign w:val="center"/>
          </w:tcPr>
          <w:p>
            <w:pPr>
              <w:spacing w:before="0" w:after="0" w:line="259" w:lineRule="auto"/>
            </w:pPr>
            <w:r>
              <w:rPr>
                <w:rFonts w:ascii="Arial" w:hAnsi="Arial"/>
                <w:color w:val="191818"/>
                <w:sz w:val="18"/>
              </w:rPr>
              <w:t>Token exchange</w:t>
            </w:r>
          </w:p>
        </w:tc>
        <w:tc>
          <w:tcPr>
            <w:tcW w:type="dxa" w:w="5760"/>
            <w:tcMar>
              <w:top w:w="80" w:type="dxa"/>
              <w:bottom w:w="80" w:type="dxa"/>
              <w:start w:w="120" w:type="dxa"/>
              <w:end w:w="120" w:type="dxa"/>
            </w:tcMar>
            <w:vAlign w:val="center"/>
          </w:tcPr>
          <w:p>
            <w:pPr>
              <w:spacing w:before="0" w:after="0" w:line="259" w:lineRule="auto"/>
            </w:pPr>
            <w:r>
              <w:rPr>
                <w:rFonts w:ascii="Arial" w:hAnsi="Arial"/>
                <w:color w:val="191818"/>
                <w:sz w:val="18"/>
              </w:rPr>
              <w:t>p95 &lt; 1 s; alert on server failures and abuse spikes.</w:t>
            </w:r>
          </w:p>
        </w:tc>
      </w:tr>
      <w:tr>
        <w:tc>
          <w:tcPr>
            <w:tcW w:type="dxa" w:w="3600"/>
            <w:tcMar>
              <w:top w:w="80" w:type="dxa"/>
              <w:bottom w:w="80" w:type="dxa"/>
              <w:start w:w="120" w:type="dxa"/>
              <w:end w:w="120" w:type="dxa"/>
            </w:tcMar>
            <w:vAlign w:val="center"/>
          </w:tcPr>
          <w:p>
            <w:pPr>
              <w:spacing w:before="0" w:after="0" w:line="259" w:lineRule="auto"/>
            </w:pPr>
            <w:r>
              <w:rPr>
                <w:rFonts w:ascii="Arial" w:hAnsi="Arial"/>
                <w:color w:val="191818"/>
                <w:sz w:val="18"/>
              </w:rPr>
              <w:t>Upload URL creation</w:t>
            </w:r>
          </w:p>
        </w:tc>
        <w:tc>
          <w:tcPr>
            <w:tcW w:type="dxa" w:w="5760"/>
            <w:tcMar>
              <w:top w:w="80" w:type="dxa"/>
              <w:bottom w:w="80" w:type="dxa"/>
              <w:start w:w="120" w:type="dxa"/>
              <w:end w:w="120" w:type="dxa"/>
            </w:tcMar>
            <w:vAlign w:val="center"/>
          </w:tcPr>
          <w:p>
            <w:pPr>
              <w:spacing w:before="0" w:after="0" w:line="259" w:lineRule="auto"/>
            </w:pPr>
            <w:r>
              <w:rPr>
                <w:rFonts w:ascii="Arial" w:hAnsi="Arial"/>
                <w:color w:val="191818"/>
                <w:sz w:val="18"/>
              </w:rPr>
              <w:t>p95 &lt; 750 ms.</w:t>
            </w:r>
          </w:p>
        </w:tc>
      </w:tr>
      <w:tr>
        <w:tc>
          <w:tcPr>
            <w:tcW w:type="dxa" w:w="3600"/>
            <w:tcMar>
              <w:top w:w="80" w:type="dxa"/>
              <w:bottom w:w="80" w:type="dxa"/>
              <w:start w:w="120" w:type="dxa"/>
              <w:end w:w="120" w:type="dxa"/>
            </w:tcMar>
            <w:vAlign w:val="center"/>
          </w:tcPr>
          <w:p>
            <w:pPr>
              <w:spacing w:before="0" w:after="0" w:line="259" w:lineRule="auto"/>
            </w:pPr>
            <w:r>
              <w:rPr>
                <w:rFonts w:ascii="Arial" w:hAnsi="Arial"/>
                <w:color w:val="191818"/>
                <w:sz w:val="18"/>
              </w:rPr>
              <w:t>Lift read sync</w:t>
            </w:r>
          </w:p>
        </w:tc>
        <w:tc>
          <w:tcPr>
            <w:tcW w:type="dxa" w:w="5760"/>
            <w:tcMar>
              <w:top w:w="80" w:type="dxa"/>
              <w:bottom w:w="80" w:type="dxa"/>
              <w:start w:w="120" w:type="dxa"/>
              <w:end w:w="120" w:type="dxa"/>
            </w:tcMar>
            <w:vAlign w:val="center"/>
          </w:tcPr>
          <w:p>
            <w:pPr>
              <w:spacing w:before="0" w:after="0" w:line="259" w:lineRule="auto"/>
            </w:pPr>
            <w:r>
              <w:rPr>
                <w:rFonts w:ascii="Arial" w:hAnsi="Arial"/>
                <w:color w:val="191818"/>
                <w:sz w:val="18"/>
              </w:rPr>
              <w:t>p95 &lt; 30 s asynchronously; alert on timeout/schema drift.</w:t>
            </w:r>
          </w:p>
        </w:tc>
      </w:tr>
      <w:tr>
        <w:tc>
          <w:tcPr>
            <w:tcW w:type="dxa" w:w="3600"/>
            <w:tcMar>
              <w:top w:w="80" w:type="dxa"/>
              <w:bottom w:w="80" w:type="dxa"/>
              <w:start w:w="120" w:type="dxa"/>
              <w:end w:w="120" w:type="dxa"/>
            </w:tcMar>
            <w:vAlign w:val="center"/>
          </w:tcPr>
          <w:p>
            <w:pPr>
              <w:spacing w:before="0" w:after="0" w:line="259" w:lineRule="auto"/>
            </w:pPr>
            <w:r>
              <w:rPr>
                <w:rFonts w:ascii="Arial" w:hAnsi="Arial"/>
                <w:color w:val="191818"/>
                <w:sz w:val="18"/>
              </w:rPr>
              <w:t>Decision acknowledgement</w:t>
            </w:r>
          </w:p>
        </w:tc>
        <w:tc>
          <w:tcPr>
            <w:tcW w:type="dxa" w:w="5760"/>
            <w:tcMar>
              <w:top w:w="80" w:type="dxa"/>
              <w:bottom w:w="80" w:type="dxa"/>
              <w:start w:w="120" w:type="dxa"/>
              <w:end w:w="120" w:type="dxa"/>
            </w:tcMar>
            <w:vAlign w:val="center"/>
          </w:tcPr>
          <w:p>
            <w:pPr>
              <w:spacing w:before="0" w:after="0" w:line="259" w:lineRule="auto"/>
            </w:pPr>
            <w:r>
              <w:rPr>
                <w:rFonts w:ascii="Arial" w:hAnsi="Arial"/>
                <w:color w:val="191818"/>
                <w:sz w:val="18"/>
              </w:rPr>
              <w:t>p95 &lt; 10 s healthy; otherwise explicit reconciliation.</w:t>
            </w:r>
          </w:p>
        </w:tc>
      </w:tr>
      <w:tr>
        <w:tc>
          <w:tcPr>
            <w:tcW w:type="dxa" w:w="3600"/>
            <w:tcMar>
              <w:top w:w="80" w:type="dxa"/>
              <w:bottom w:w="80" w:type="dxa"/>
              <w:start w:w="120" w:type="dxa"/>
              <w:end w:w="120" w:type="dxa"/>
            </w:tcMar>
            <w:vAlign w:val="center"/>
          </w:tcPr>
          <w:p>
            <w:pPr>
              <w:spacing w:before="0" w:after="0" w:line="259" w:lineRule="auto"/>
            </w:pPr>
            <w:r>
              <w:rPr>
                <w:rFonts w:ascii="Arial" w:hAnsi="Arial"/>
                <w:color w:val="191818"/>
                <w:sz w:val="18"/>
              </w:rPr>
              <w:t>Active sync lag</w:t>
            </w:r>
          </w:p>
        </w:tc>
        <w:tc>
          <w:tcPr>
            <w:tcW w:type="dxa" w:w="5760"/>
            <w:tcMar>
              <w:top w:w="80" w:type="dxa"/>
              <w:bottom w:w="80" w:type="dxa"/>
              <w:start w:w="120" w:type="dxa"/>
              <w:end w:w="120" w:type="dxa"/>
            </w:tcMar>
            <w:vAlign w:val="center"/>
          </w:tcPr>
          <w:p>
            <w:pPr>
              <w:spacing w:before="0" w:after="0" w:line="259" w:lineRule="auto"/>
            </w:pPr>
            <w:r>
              <w:rPr>
                <w:rFonts w:ascii="Arial" w:hAnsi="Arial"/>
                <w:color w:val="191818"/>
                <w:sz w:val="18"/>
              </w:rPr>
              <w:t>≤ 15 minutes normal staleness.</w:t>
            </w:r>
          </w:p>
        </w:tc>
      </w:tr>
      <w:tr>
        <w:tc>
          <w:tcPr>
            <w:tcW w:type="dxa" w:w="3600"/>
            <w:tcMar>
              <w:top w:w="80" w:type="dxa"/>
              <w:bottom w:w="80" w:type="dxa"/>
              <w:start w:w="120" w:type="dxa"/>
              <w:end w:w="120" w:type="dxa"/>
            </w:tcMar>
            <w:vAlign w:val="center"/>
          </w:tcPr>
          <w:p>
            <w:pPr>
              <w:spacing w:before="0" w:after="0" w:line="259" w:lineRule="auto"/>
            </w:pPr>
            <w:r>
              <w:rPr>
                <w:rFonts w:ascii="Arial" w:hAnsi="Arial"/>
                <w:color w:val="191818"/>
                <w:sz w:val="18"/>
              </w:rPr>
              <w:t>Missing attachment/proof URL</w:t>
            </w:r>
          </w:p>
        </w:tc>
        <w:tc>
          <w:tcPr>
            <w:tcW w:type="dxa" w:w="5760"/>
            <w:tcMar>
              <w:top w:w="80" w:type="dxa"/>
              <w:bottom w:w="80" w:type="dxa"/>
              <w:start w:w="120" w:type="dxa"/>
              <w:end w:w="120" w:type="dxa"/>
            </w:tcMar>
            <w:vAlign w:val="center"/>
          </w:tcPr>
          <w:p>
            <w:pPr>
              <w:spacing w:before="0" w:after="0" w:line="259" w:lineRule="auto"/>
            </w:pPr>
            <w:r>
              <w:rPr>
                <w:rFonts w:ascii="Arial" w:hAnsi="Arial"/>
                <w:color w:val="191818"/>
                <w:sz w:val="18"/>
              </w:rPr>
              <w:t>Any actionable non-zero count deserves operational visibility.</w:t>
            </w:r>
          </w:p>
        </w:tc>
      </w:tr>
      <w:tr>
        <w:tc>
          <w:tcPr>
            <w:tcW w:type="dxa" w:w="3600"/>
            <w:tcMar>
              <w:top w:w="80" w:type="dxa"/>
              <w:bottom w:w="80" w:type="dxa"/>
              <w:start w:w="120" w:type="dxa"/>
              <w:end w:w="120" w:type="dxa"/>
            </w:tcMar>
            <w:vAlign w:val="center"/>
          </w:tcPr>
          <w:p>
            <w:pPr>
              <w:spacing w:before="0" w:after="0" w:line="259" w:lineRule="auto"/>
            </w:pPr>
            <w:r>
              <w:rPr>
                <w:rFonts w:ascii="Arial" w:hAnsi="Arial"/>
                <w:color w:val="191818"/>
                <w:sz w:val="18"/>
              </w:rPr>
              <w:t>Revision failure / DLQ</w:t>
            </w:r>
          </w:p>
        </w:tc>
        <w:tc>
          <w:tcPr>
            <w:tcW w:type="dxa" w:w="5760"/>
            <w:tcMar>
              <w:top w:w="80" w:type="dxa"/>
              <w:bottom w:w="80" w:type="dxa"/>
              <w:start w:w="120" w:type="dxa"/>
              <w:end w:w="120" w:type="dxa"/>
            </w:tcMar>
            <w:vAlign w:val="center"/>
          </w:tcPr>
          <w:p>
            <w:pPr>
              <w:spacing w:before="0" w:after="0" w:line="259" w:lineRule="auto"/>
            </w:pPr>
            <w:r>
              <w:rPr>
                <w:rFonts w:ascii="Arial" w:hAnsi="Arial"/>
                <w:color w:val="191818"/>
                <w:sz w:val="18"/>
              </w:rPr>
              <w:t>Alarm on sustained failure; any DLQ message is actionable.</w:t>
            </w:r>
          </w:p>
        </w:tc>
      </w:tr>
    </w:tbl>
    <w:p>
      <w:pPr>
        <w:spacing w:after="60"/>
      </w:pPr>
    </w:p>
    <w:p>
      <w:pPr>
        <w:pStyle w:val="Heading1"/>
        <w:keepNext/>
      </w:pPr>
      <w:r>
        <w:rPr>
          <w:rFonts w:ascii="Arial" w:hAnsi="Arial"/>
          <w:b/>
          <w:color w:val="39523B"/>
          <w:sz w:val="32"/>
        </w:rPr>
        <w:t>14. Testing and acceptance</w:t>
      </w:r>
    </w:p>
    <w:p>
      <w:pPr>
        <w:pStyle w:val="Heading2"/>
        <w:keepNext/>
      </w:pPr>
      <w:r>
        <w:rPr>
          <w:rFonts w:ascii="Arial" w:hAnsi="Arial"/>
          <w:b/>
          <w:color w:val="39523B"/>
          <w:sz w:val="26"/>
        </w:rPr>
        <w:t>14.1 Unit and contract tests</w:t>
      </w:r>
    </w:p>
    <w:p>
      <w:pPr>
        <w:pStyle w:val="VornanBullet"/>
        <w:spacing w:after="160" w:line="280" w:lineRule="auto"/>
        <w:ind w:left="720" w:hanging="360"/>
      </w:pPr>
      <w:r>
        <w:rPr>
          <w:rFonts w:ascii="Arial" w:hAnsi="Arial"/>
          <w:color w:val="191818"/>
          <w:sz w:val="21"/>
        </w:rPr>
        <w:t>Multiple attachments on one line remain separate; repeated comment rows group by attachment.</w:t>
      </w:r>
    </w:p>
    <w:p>
      <w:pPr>
        <w:pStyle w:val="VornanBullet"/>
        <w:spacing w:after="160" w:line="280" w:lineRule="auto"/>
        <w:ind w:left="720" w:hanging="360"/>
      </w:pPr>
      <w:r>
        <w:rPr>
          <w:rFonts w:ascii="Arial" w:hAnsi="Arial"/>
          <w:color w:val="191818"/>
          <w:sz w:val="21"/>
        </w:rPr>
        <w:t>ORDER_LINE_ID join wins; LINE_NUMBER fallback is logged and tested.</w:t>
      </w:r>
    </w:p>
    <w:p>
      <w:pPr>
        <w:pStyle w:val="VornanBullet"/>
        <w:spacing w:after="160" w:line="280" w:lineRule="auto"/>
        <w:ind w:left="720" w:hanging="360"/>
      </w:pPr>
      <w:r>
        <w:rPr>
          <w:rFonts w:ascii="Arial" w:hAnsi="Arial"/>
          <w:color w:val="191818"/>
          <w:sz w:val="21"/>
        </w:rPr>
        <w:t>Waiting shells, replaced attachments, history, cancellation, missing order and post-proof reference behavior.</w:t>
      </w:r>
    </w:p>
    <w:p>
      <w:pPr>
        <w:pStyle w:val="VornanBullet"/>
        <w:spacing w:after="160" w:line="280" w:lineRule="auto"/>
        <w:ind w:left="720" w:hanging="360"/>
      </w:pPr>
      <w:r>
        <w:rPr>
          <w:rFonts w:ascii="Arial" w:hAnsi="Arial"/>
          <w:color w:val="191818"/>
          <w:sz w:val="21"/>
        </w:rPr>
        <w:t>High/low URL precedence, detailed reports, comment attachments and Lift date parsing.</w:t>
      </w:r>
    </w:p>
    <w:p>
      <w:pPr>
        <w:pStyle w:val="VornanBullet"/>
        <w:spacing w:after="160" w:line="280" w:lineRule="auto"/>
        <w:ind w:left="720" w:hanging="360"/>
      </w:pPr>
      <w:r>
        <w:rPr>
          <w:rFonts w:ascii="Arial" w:hAnsi="Arial"/>
          <w:color w:val="191818"/>
          <w:sz w:val="21"/>
        </w:rPr>
        <w:t>Order query p0; proof query p1/p2; bounded concurrency; fallback condition; decision URL ATTACHMENT_ID.</w:t>
      </w:r>
    </w:p>
    <w:p>
      <w:pPr>
        <w:pStyle w:val="VornanBullet"/>
        <w:spacing w:after="160" w:line="280" w:lineRule="auto"/>
        <w:ind w:left="720" w:hanging="360"/>
      </w:pPr>
      <w:r>
        <w:rPr>
          <w:rFonts w:ascii="Arial" w:hAnsi="Arial"/>
          <w:color w:val="191818"/>
          <w:sz w:val="21"/>
        </w:rPr>
        <w:t>JWT claims/lifetime/headers and approve/revision bodies, including approveQuantity contract.</w:t>
      </w:r>
    </w:p>
    <w:p>
      <w:pPr>
        <w:pStyle w:val="VornanBullet"/>
        <w:spacing w:after="160" w:line="280" w:lineRule="auto"/>
        <w:ind w:left="720" w:hanging="360"/>
      </w:pPr>
      <w:r>
        <w:rPr>
          <w:rFonts w:ascii="Arial" w:hAnsi="Arial"/>
          <w:color w:val="191818"/>
          <w:sz w:val="21"/>
        </w:rPr>
        <w:t>No secrets, tokens or signed queries in structured logs.</w:t>
      </w:r>
    </w:p>
    <w:p>
      <w:pPr>
        <w:pStyle w:val="Heading2"/>
        <w:keepNext/>
      </w:pPr>
      <w:r>
        <w:rPr>
          <w:rFonts w:ascii="Arial" w:hAnsi="Arial"/>
          <w:b/>
          <w:color w:val="39523B"/>
          <w:sz w:val="26"/>
        </w:rPr>
        <w:t>14.2 Public API and upload tests</w:t>
      </w:r>
    </w:p>
    <w:p>
      <w:pPr>
        <w:pStyle w:val="VornanBullet"/>
        <w:spacing w:after="160" w:line="280" w:lineRule="auto"/>
        <w:ind w:left="720" w:hanging="360"/>
      </w:pPr>
      <w:r>
        <w:rPr>
          <w:rFonts w:ascii="Arial" w:hAnsi="Arial"/>
          <w:color w:val="191818"/>
          <w:sz w:val="21"/>
        </w:rPr>
        <w:t>Raw grant token returned once; only hash persisted; unknown/revoked/expired failures reveal no order existence.</w:t>
      </w:r>
    </w:p>
    <w:p>
      <w:pPr>
        <w:pStyle w:val="VornanBullet"/>
        <w:spacing w:after="160" w:line="280" w:lineRule="auto"/>
        <w:ind w:left="720" w:hanging="360"/>
      </w:pPr>
      <w:r>
        <w:rPr>
          <w:rFonts w:ascii="Arial" w:hAnsi="Arial"/>
          <w:color w:val="191818"/>
          <w:sz w:val="21"/>
        </w:rPr>
        <w:t>View grant cannot write; decision grant cannot cross order/task; identity, feedback fingerprint, version and idempotency are enforced.</w:t>
      </w:r>
    </w:p>
    <w:p>
      <w:pPr>
        <w:pStyle w:val="VornanBullet"/>
        <w:spacing w:after="160" w:line="280" w:lineRule="auto"/>
        <w:ind w:left="720" w:hanging="360"/>
      </w:pPr>
      <w:r>
        <w:rPr>
          <w:rFonts w:ascii="Arial" w:hAnsi="Arial"/>
          <w:color w:val="191818"/>
          <w:sz w:val="21"/>
        </w:rPr>
        <w:t>Revocation invalidates sessions within the documented window.</w:t>
      </w:r>
    </w:p>
    <w:p>
      <w:pPr>
        <w:pStyle w:val="VornanBullet"/>
        <w:spacing w:after="160" w:line="280" w:lineRule="auto"/>
        <w:ind w:left="720" w:hanging="360"/>
      </w:pPr>
      <w:r>
        <w:rPr>
          <w:rFonts w:ascii="Arial" w:hAnsi="Arial"/>
          <w:color w:val="191818"/>
          <w:sz w:val="21"/>
        </w:rPr>
        <w:t>Signer chooses key; finalizer rejects missing/wrong size/type/ETag/prefix; outbound URL is direct 200 with correct headers.</w:t>
      </w:r>
    </w:p>
    <w:p>
      <w:pPr>
        <w:pStyle w:val="VornanBullet"/>
        <w:spacing w:after="160" w:line="280" w:lineRule="auto"/>
        <w:ind w:left="720" w:hanging="360"/>
      </w:pPr>
      <w:r>
        <w:rPr>
          <w:rFonts w:ascii="Arial" w:hAnsi="Arial"/>
          <w:color w:val="191818"/>
          <w:sz w:val="21"/>
        </w:rPr>
        <w:t>PDF, PNG, JPEG/JPG, TIFF, PSD, AI, EPS and INDD fixtures validate upload, storage, safe preview/fallback, download and Lift delivery; prohibited active content cannot bypass the allowlist.</w:t>
      </w:r>
    </w:p>
    <w:p>
      <w:pPr>
        <w:pStyle w:val="VornanBullet"/>
        <w:spacing w:after="160" w:line="280" w:lineRule="auto"/>
        <w:ind w:left="720" w:hanging="360"/>
      </w:pPr>
      <w:r>
        <w:rPr>
          <w:rFonts w:ascii="Arial" w:hAnsi="Arial"/>
          <w:color w:val="191818"/>
          <w:sz w:val="21"/>
        </w:rPr>
        <w:t>An 800 MB+ fixture validates multipart creation, concurrent part upload, interrupted-session resume, individual-part retry, cancel/abort, integrity verification, finalization, asynchronous scanning and Lift delivery without proxying the file through API Gateway.</w:t>
      </w:r>
    </w:p>
    <w:p>
      <w:pPr>
        <w:pStyle w:val="VornanBullet"/>
        <w:spacing w:after="160" w:line="280" w:lineRule="auto"/>
        <w:ind w:left="720" w:hanging="360"/>
      </w:pPr>
      <w:r>
        <w:rPr>
          <w:rFonts w:ascii="Arial" w:hAnsi="Arial"/>
          <w:color w:val="191818"/>
          <w:sz w:val="21"/>
        </w:rPr>
        <w:t>ZIP is rejected from the Lift-artwork path with a clear message; any future package-intake workflow is isolated, quarantined, scanned and operator-mediated.</w:t>
      </w:r>
    </w:p>
    <w:p>
      <w:pPr>
        <w:pStyle w:val="VornanBullet"/>
        <w:spacing w:after="160" w:line="280" w:lineRule="auto"/>
        <w:ind w:left="720" w:hanging="360"/>
      </w:pPr>
      <w:r>
        <w:rPr>
          <w:rFonts w:ascii="Arial" w:hAnsi="Arial"/>
          <w:color w:val="191818"/>
          <w:sz w:val="21"/>
        </w:rPr>
        <w:t>A stale attachment discovered during upload cannot send art to the wrong proof target.</w:t>
      </w:r>
    </w:p>
    <w:p>
      <w:pPr>
        <w:pStyle w:val="VornanBullet"/>
        <w:spacing w:after="160" w:line="280" w:lineRule="auto"/>
        <w:ind w:left="720" w:hanging="360"/>
      </w:pPr>
      <w:r>
        <w:rPr>
          <w:rFonts w:ascii="Arial" w:hAnsi="Arial"/>
          <w:color w:val="191818"/>
          <w:sz w:val="21"/>
        </w:rPr>
        <w:t>Uncertain Lift writes reconcile before retry; duplicate submit cannot toggle or duplicate state.</w:t>
      </w:r>
    </w:p>
    <w:p>
      <w:pPr>
        <w:pStyle w:val="Heading2"/>
        <w:keepNext/>
      </w:pPr>
      <w:r>
        <w:rPr>
          <w:rFonts w:ascii="Arial" w:hAnsi="Arial"/>
          <w:b/>
          <w:color w:val="39523B"/>
          <w:sz w:val="26"/>
        </w:rPr>
        <w:t>14.3 E2E matrix</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2200"/>
        <w:gridCol w:w="7160"/>
      </w:tblGrid>
      <w:tr>
        <w:trPr>
          <w:tblHeader w:val="true"/>
        </w:trPr>
        <w:tc>
          <w:tcPr>
            <w:tcW w:type="dxa" w:w="22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Viewport</w:t>
            </w:r>
          </w:p>
        </w:tc>
        <w:tc>
          <w:tcPr>
            <w:tcW w:type="dxa" w:w="71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Acceptance</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1440×1000</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Split queue and two-up viewer; independent scroll; full actions.</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1366×768</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Short-laptop compaction; no clipped decision controls.</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1180×820</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Tablet queue + card canvas.</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820×1180</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Deliberate mobile threshold; no unstable split.</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390×844</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Sticky dock, stacked cards, full-width actions and bottom sheets.</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844×390</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Short landscape mobile feed.</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8"/>
              </w:rPr>
              <w:t>320×568</w:t>
            </w:r>
          </w:p>
        </w:tc>
        <w:tc>
          <w:tcPr>
            <w:tcW w:type="dxa" w:w="7160"/>
            <w:tcMar>
              <w:top w:w="80" w:type="dxa"/>
              <w:bottom w:w="80" w:type="dxa"/>
              <w:start w:w="120" w:type="dxa"/>
              <w:end w:w="120" w:type="dxa"/>
            </w:tcMar>
            <w:vAlign w:val="center"/>
          </w:tcPr>
          <w:p>
            <w:pPr>
              <w:spacing w:before="0" w:after="0" w:line="259" w:lineRule="auto"/>
            </w:pPr>
            <w:r>
              <w:rPr>
                <w:rFonts w:ascii="Arial" w:hAnsi="Arial"/>
                <w:color w:val="191818"/>
                <w:sz w:val="18"/>
              </w:rPr>
              <w:t>No horizontal scroll; history/feedback/actions usable.</w:t>
            </w:r>
          </w:p>
        </w:tc>
      </w:tr>
    </w:tbl>
    <w:p>
      <w:pPr>
        <w:spacing w:after="60"/>
      </w:pPr>
    </w:p>
    <w:p>
      <w:pPr>
        <w:spacing w:before="0" w:after="120" w:line="264" w:lineRule="auto"/>
      </w:pPr>
      <w:r>
        <w:rPr>
          <w:rFonts w:ascii="Arial" w:hAnsi="Arial"/>
          <w:b w:val="0"/>
          <w:i w:val="0"/>
          <w:color w:val="191818"/>
          <w:sz w:val="22"/>
        </w:rPr>
        <w:t>For every viewport validate keyboard, screen-reader names, long filenames, four siblings on one line, proof-only tasks, waiting/revised/reference states, comment attachments, upload progress, reduced motion and session expiry.</w:t>
      </w:r>
    </w:p>
    <w:p>
      <w:pPr>
        <w:pStyle w:val="Heading1"/>
        <w:keepNext/>
      </w:pPr>
      <w:r>
        <w:rPr>
          <w:rFonts w:ascii="Arial" w:hAnsi="Arial"/>
          <w:b/>
          <w:color w:val="39523B"/>
          <w:sz w:val="32"/>
        </w:rPr>
        <w:t>15. Delivery plan</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1650"/>
        <w:gridCol w:w="4890"/>
        <w:gridCol w:w="2820"/>
      </w:tblGrid>
      <w:tr>
        <w:trPr>
          <w:tblHeader w:val="true"/>
        </w:trPr>
        <w:tc>
          <w:tcPr>
            <w:tcW w:type="dxa" w:w="165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Phase</w:t>
            </w:r>
          </w:p>
        </w:tc>
        <w:tc>
          <w:tcPr>
            <w:tcW w:type="dxa" w:w="489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Scope</w:t>
            </w:r>
          </w:p>
        </w:tc>
        <w:tc>
          <w:tcPr>
            <w:tcW w:type="dxa" w:w="282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Exit gate</w:t>
            </w:r>
          </w:p>
        </w:tc>
      </w:tr>
      <w:tr>
        <w:tc>
          <w:tcPr>
            <w:tcW w:type="dxa" w:w="1650"/>
            <w:tcMar>
              <w:top w:w="80" w:type="dxa"/>
              <w:bottom w:w="80" w:type="dxa"/>
              <w:start w:w="120" w:type="dxa"/>
              <w:end w:w="120" w:type="dxa"/>
            </w:tcMar>
            <w:vAlign w:val="center"/>
          </w:tcPr>
          <w:p>
            <w:pPr>
              <w:spacing w:before="0" w:after="0" w:line="259" w:lineRule="auto"/>
            </w:pPr>
            <w:r>
              <w:rPr>
                <w:rFonts w:ascii="Arial" w:hAnsi="Arial"/>
                <w:color w:val="191818"/>
                <w:sz w:val="16"/>
              </w:rPr>
              <w:t>0 — Contract</w:t>
            </w:r>
          </w:p>
        </w:tc>
        <w:tc>
          <w:tcPr>
            <w:tcW w:type="dxa" w:w="4890"/>
            <w:tcMar>
              <w:top w:w="80" w:type="dxa"/>
              <w:bottom w:w="80" w:type="dxa"/>
              <w:start w:w="120" w:type="dxa"/>
              <w:end w:w="120" w:type="dxa"/>
            </w:tcMar>
            <w:vAlign w:val="center"/>
          </w:tcPr>
          <w:p>
            <w:pPr>
              <w:spacing w:before="0" w:after="0" w:line="259" w:lineRule="auto"/>
            </w:pPr>
            <w:r>
              <w:rPr>
                <w:rFonts w:ascii="Arial" w:hAnsi="Arial"/>
                <w:color w:val="191818"/>
                <w:sz w:val="16"/>
              </w:rPr>
              <w:t>Confirm isolated Lift QA endpoint lifecycle, document the currently shared credential boundary, resolve write bodies, large-file/multipart quotas, deferred ZIP package intake, access/identity/retention decisions, and capture fixtures.</w:t>
            </w:r>
          </w:p>
        </w:tc>
        <w:tc>
          <w:tcPr>
            <w:tcW w:type="dxa" w:w="2820"/>
            <w:tcMar>
              <w:top w:w="80" w:type="dxa"/>
              <w:bottom w:w="80" w:type="dxa"/>
              <w:start w:w="120" w:type="dxa"/>
              <w:end w:w="120" w:type="dxa"/>
            </w:tcMar>
            <w:vAlign w:val="center"/>
          </w:tcPr>
          <w:p>
            <w:pPr>
              <w:spacing w:before="0" w:after="0" w:line="259" w:lineRule="auto"/>
            </w:pPr>
            <w:r>
              <w:rPr>
                <w:rFonts w:ascii="Arial" w:hAnsi="Arial"/>
                <w:color w:val="191818"/>
                <w:sz w:val="16"/>
              </w:rPr>
              <w:t>No unknown blocks data or security model.</w:t>
            </w:r>
          </w:p>
        </w:tc>
      </w:tr>
      <w:tr>
        <w:tc>
          <w:tcPr>
            <w:tcW w:type="dxa" w:w="1650"/>
            <w:tcMar>
              <w:top w:w="80" w:type="dxa"/>
              <w:bottom w:w="80" w:type="dxa"/>
              <w:start w:w="120" w:type="dxa"/>
              <w:end w:w="120" w:type="dxa"/>
            </w:tcMar>
            <w:vAlign w:val="center"/>
          </w:tcPr>
          <w:p>
            <w:pPr>
              <w:spacing w:before="0" w:after="0" w:line="259" w:lineRule="auto"/>
            </w:pPr>
            <w:r>
              <w:rPr>
                <w:rFonts w:ascii="Arial" w:hAnsi="Arial"/>
                <w:color w:val="191818"/>
                <w:sz w:val="16"/>
              </w:rPr>
              <w:t>1 — Read-only vertical slice</w:t>
            </w:r>
          </w:p>
        </w:tc>
        <w:tc>
          <w:tcPr>
            <w:tcW w:type="dxa" w:w="4890"/>
            <w:tcMar>
              <w:top w:w="80" w:type="dxa"/>
              <w:bottom w:w="80" w:type="dxa"/>
              <w:start w:w="120" w:type="dxa"/>
              <w:end w:w="120" w:type="dxa"/>
            </w:tcMar>
            <w:vAlign w:val="center"/>
          </w:tcPr>
          <w:p>
            <w:pPr>
              <w:spacing w:before="0" w:after="0" w:line="259" w:lineRule="auto"/>
            </w:pPr>
            <w:r>
              <w:rPr>
                <w:rFonts w:ascii="Arial" w:hAnsi="Arial"/>
                <w:color w:val="191818"/>
                <w:sz w:val="16"/>
              </w:rPr>
              <w:t>Proof domain, Lift reads, line-scoped sync, history, DDB, operator inspection.</w:t>
            </w:r>
          </w:p>
        </w:tc>
        <w:tc>
          <w:tcPr>
            <w:tcW w:type="dxa" w:w="2820"/>
            <w:tcMar>
              <w:top w:w="80" w:type="dxa"/>
              <w:bottom w:w="80" w:type="dxa"/>
              <w:start w:w="120" w:type="dxa"/>
              <w:end w:w="120" w:type="dxa"/>
            </w:tcMar>
            <w:vAlign w:val="center"/>
          </w:tcPr>
          <w:p>
            <w:pPr>
              <w:spacing w:before="0" w:after="0" w:line="259" w:lineRule="auto"/>
            </w:pPr>
            <w:r>
              <w:rPr>
                <w:rFonts w:ascii="Arial" w:hAnsi="Arial"/>
                <w:color w:val="191818"/>
                <w:sz w:val="16"/>
              </w:rPr>
              <w:t>Known direct Lift orders normalize exactly, including siblings and completed order.</w:t>
            </w:r>
          </w:p>
        </w:tc>
      </w:tr>
      <w:tr>
        <w:tc>
          <w:tcPr>
            <w:tcW w:type="dxa" w:w="1650"/>
            <w:tcMar>
              <w:top w:w="80" w:type="dxa"/>
              <w:bottom w:w="80" w:type="dxa"/>
              <w:start w:w="120" w:type="dxa"/>
              <w:end w:w="120" w:type="dxa"/>
            </w:tcMar>
            <w:vAlign w:val="center"/>
          </w:tcPr>
          <w:p>
            <w:pPr>
              <w:spacing w:before="0" w:after="0" w:line="259" w:lineRule="auto"/>
            </w:pPr>
            <w:r>
              <w:rPr>
                <w:rFonts w:ascii="Arial" w:hAnsi="Arial"/>
                <w:color w:val="191818"/>
                <w:sz w:val="16"/>
              </w:rPr>
              <w:t>2 — Tokenized customer read</w:t>
            </w:r>
          </w:p>
        </w:tc>
        <w:tc>
          <w:tcPr>
            <w:tcW w:type="dxa" w:w="4890"/>
            <w:tcMar>
              <w:top w:w="80" w:type="dxa"/>
              <w:bottom w:w="80" w:type="dxa"/>
              <w:start w:w="120" w:type="dxa"/>
              <w:end w:w="120" w:type="dxa"/>
            </w:tcMar>
            <w:vAlign w:val="center"/>
          </w:tcPr>
          <w:p>
            <w:pPr>
              <w:spacing w:before="0" w:after="0" w:line="259" w:lineRule="auto"/>
            </w:pPr>
            <w:r>
              <w:rPr>
                <w:rFonts w:ascii="Arial" w:hAnsi="Arial"/>
                <w:color w:val="191818"/>
                <w:sz w:val="16"/>
              </w:rPr>
              <w:t>SPA, edge, grants/sessions, queue/detail, feedback/history, cached refresh, responsive/a11y.</w:t>
            </w:r>
          </w:p>
        </w:tc>
        <w:tc>
          <w:tcPr>
            <w:tcW w:type="dxa" w:w="2820"/>
            <w:tcMar>
              <w:top w:w="80" w:type="dxa"/>
              <w:bottom w:w="80" w:type="dxa"/>
              <w:start w:w="120" w:type="dxa"/>
              <w:end w:w="120" w:type="dxa"/>
            </w:tcMar>
            <w:vAlign w:val="center"/>
          </w:tcPr>
          <w:p>
            <w:pPr>
              <w:spacing w:before="0" w:after="0" w:line="259" w:lineRule="auto"/>
            </w:pPr>
            <w:r>
              <w:rPr>
                <w:rFonts w:ascii="Arial" w:hAnsi="Arial"/>
                <w:color w:val="191818"/>
                <w:sz w:val="16"/>
              </w:rPr>
              <w:t>Customer securely views only one order on desktop/mobile; no writes.</w:t>
            </w:r>
          </w:p>
        </w:tc>
      </w:tr>
      <w:tr>
        <w:tc>
          <w:tcPr>
            <w:tcW w:type="dxa" w:w="1650"/>
            <w:tcMar>
              <w:top w:w="80" w:type="dxa"/>
              <w:bottom w:w="80" w:type="dxa"/>
              <w:start w:w="120" w:type="dxa"/>
              <w:end w:w="120" w:type="dxa"/>
            </w:tcMar>
            <w:vAlign w:val="center"/>
          </w:tcPr>
          <w:p>
            <w:pPr>
              <w:spacing w:before="0" w:after="0" w:line="259" w:lineRule="auto"/>
            </w:pPr>
            <w:r>
              <w:rPr>
                <w:rFonts w:ascii="Arial" w:hAnsi="Arial"/>
                <w:color w:val="191818"/>
                <w:sz w:val="16"/>
              </w:rPr>
              <w:t>3 — Approvals</w:t>
            </w:r>
          </w:p>
        </w:tc>
        <w:tc>
          <w:tcPr>
            <w:tcW w:type="dxa" w:w="4890"/>
            <w:tcMar>
              <w:top w:w="80" w:type="dxa"/>
              <w:bottom w:w="80" w:type="dxa"/>
              <w:start w:w="120" w:type="dxa"/>
              <w:end w:w="120" w:type="dxa"/>
            </w:tcMar>
            <w:vAlign w:val="center"/>
          </w:tcPr>
          <w:p>
            <w:pPr>
              <w:spacing w:before="0" w:after="0" w:line="259" w:lineRule="auto"/>
            </w:pPr>
            <w:r>
              <w:rPr>
                <w:rFonts w:ascii="Arial" w:hAnsi="Arial"/>
                <w:color w:val="191818"/>
                <w:sz w:val="16"/>
              </w:rPr>
              <w:t>Identity, acknowledgement, concurrency/idempotency, decision adapter, reconciliation, audit/events.</w:t>
            </w:r>
          </w:p>
        </w:tc>
        <w:tc>
          <w:tcPr>
            <w:tcW w:type="dxa" w:w="2820"/>
            <w:tcMar>
              <w:top w:w="80" w:type="dxa"/>
              <w:bottom w:w="80" w:type="dxa"/>
              <w:start w:w="120" w:type="dxa"/>
              <w:end w:w="120" w:type="dxa"/>
            </w:tcMar>
            <w:vAlign w:val="center"/>
          </w:tcPr>
          <w:p>
            <w:pPr>
              <w:spacing w:before="0" w:after="0" w:line="259" w:lineRule="auto"/>
            </w:pPr>
            <w:r>
              <w:rPr>
                <w:rFonts w:ascii="Arial" w:hAnsi="Arial"/>
                <w:color w:val="191818"/>
                <w:sz w:val="16"/>
              </w:rPr>
              <w:t>Real QA approval reaches correct ATTACHMENT_ID and refreshes confirmed.</w:t>
            </w:r>
          </w:p>
        </w:tc>
      </w:tr>
      <w:tr>
        <w:tc>
          <w:tcPr>
            <w:tcW w:type="dxa" w:w="1650"/>
            <w:tcMar>
              <w:top w:w="80" w:type="dxa"/>
              <w:bottom w:w="80" w:type="dxa"/>
              <w:start w:w="120" w:type="dxa"/>
              <w:end w:w="120" w:type="dxa"/>
            </w:tcMar>
            <w:vAlign w:val="center"/>
          </w:tcPr>
          <w:p>
            <w:pPr>
              <w:spacing w:before="0" w:after="0" w:line="259" w:lineRule="auto"/>
            </w:pPr>
            <w:r>
              <w:rPr>
                <w:rFonts w:ascii="Arial" w:hAnsi="Arial"/>
                <w:color w:val="191818"/>
                <w:sz w:val="16"/>
              </w:rPr>
              <w:t>4 — Revisions</w:t>
            </w:r>
          </w:p>
        </w:tc>
        <w:tc>
          <w:tcPr>
            <w:tcW w:type="dxa" w:w="4890"/>
            <w:tcMar>
              <w:top w:w="80" w:type="dxa"/>
              <w:bottom w:w="80" w:type="dxa"/>
              <w:start w:w="120" w:type="dxa"/>
              <w:end w:w="120" w:type="dxa"/>
            </w:tcMar>
            <w:vAlign w:val="center"/>
          </w:tcPr>
          <w:p>
            <w:pPr>
              <w:spacing w:before="0" w:after="0" w:line="259" w:lineRule="auto"/>
            </w:pPr>
            <w:r>
              <w:rPr>
                <w:rFonts w:ascii="Arial" w:hAnsi="Arial"/>
                <w:color w:val="191818"/>
                <w:sz w:val="16"/>
              </w:rPr>
              <w:t>Direct S3 upload, 800 MB+ multipart/resume, validation/scan, outbound CloudFront, Lift revision, regenerated-proof cycle.</w:t>
            </w:r>
          </w:p>
        </w:tc>
        <w:tc>
          <w:tcPr>
            <w:tcW w:type="dxa" w:w="2820"/>
            <w:tcMar>
              <w:top w:w="80" w:type="dxa"/>
              <w:bottom w:w="80" w:type="dxa"/>
              <w:start w:w="120" w:type="dxa"/>
              <w:end w:w="120" w:type="dxa"/>
            </w:tcMar>
            <w:vAlign w:val="center"/>
          </w:tcPr>
          <w:p>
            <w:pPr>
              <w:spacing w:before="0" w:after="0" w:line="259" w:lineRule="auto"/>
            </w:pPr>
            <w:r>
              <w:rPr>
                <w:rFonts w:ascii="Arial" w:hAnsi="Arial"/>
                <w:color w:val="191818"/>
                <w:sz w:val="16"/>
              </w:rPr>
              <w:t>Real QA revision completes end-to-end without stale proof action.</w:t>
            </w:r>
          </w:p>
        </w:tc>
      </w:tr>
      <w:tr>
        <w:tc>
          <w:tcPr>
            <w:tcW w:type="dxa" w:w="1650"/>
            <w:tcMar>
              <w:top w:w="80" w:type="dxa"/>
              <w:bottom w:w="80" w:type="dxa"/>
              <w:start w:w="120" w:type="dxa"/>
              <w:end w:w="120" w:type="dxa"/>
            </w:tcMar>
            <w:vAlign w:val="center"/>
          </w:tcPr>
          <w:p>
            <w:pPr>
              <w:spacing w:before="0" w:after="0" w:line="259" w:lineRule="auto"/>
            </w:pPr>
            <w:r>
              <w:rPr>
                <w:rFonts w:ascii="Arial" w:hAnsi="Arial"/>
                <w:color w:val="191818"/>
                <w:sz w:val="16"/>
              </w:rPr>
              <w:t>5 — Pilot/hardening</w:t>
            </w:r>
          </w:p>
        </w:tc>
        <w:tc>
          <w:tcPr>
            <w:tcW w:type="dxa" w:w="4890"/>
            <w:tcMar>
              <w:top w:w="80" w:type="dxa"/>
              <w:bottom w:w="80" w:type="dxa"/>
              <w:start w:w="120" w:type="dxa"/>
              <w:end w:w="120" w:type="dxa"/>
            </w:tcMar>
            <w:vAlign w:val="center"/>
          </w:tcPr>
          <w:p>
            <w:pPr>
              <w:spacing w:before="0" w:after="0" w:line="259" w:lineRule="auto"/>
            </w:pPr>
            <w:r>
              <w:rPr>
                <w:rFonts w:ascii="Arial" w:hAnsi="Arial"/>
                <w:color w:val="191818"/>
                <w:sz w:val="16"/>
              </w:rPr>
              <w:t>WAF tuning, SLOs, alarms, runbooks, retention/security review, limited customers.</w:t>
            </w:r>
          </w:p>
        </w:tc>
        <w:tc>
          <w:tcPr>
            <w:tcW w:type="dxa" w:w="2820"/>
            <w:tcMar>
              <w:top w:w="80" w:type="dxa"/>
              <w:bottom w:w="80" w:type="dxa"/>
              <w:start w:w="120" w:type="dxa"/>
              <w:end w:w="120" w:type="dxa"/>
            </w:tcMar>
            <w:vAlign w:val="center"/>
          </w:tcPr>
          <w:p>
            <w:pPr>
              <w:spacing w:before="0" w:after="0" w:line="259" w:lineRule="auto"/>
            </w:pPr>
            <w:r>
              <w:rPr>
                <w:rFonts w:ascii="Arial" w:hAnsi="Arial"/>
                <w:color w:val="191818"/>
                <w:sz w:val="16"/>
              </w:rPr>
              <w:t>Pilot acceptance and operational sign-off.</w:t>
            </w:r>
          </w:p>
        </w:tc>
      </w:tr>
    </w:tbl>
    <w:p>
      <w:pPr>
        <w:spacing w:after="60"/>
      </w:pPr>
    </w:p>
    <w:p>
      <w:pPr>
        <w:spacing w:before="0" w:after="120" w:line="264" w:lineRule="auto"/>
      </w:pPr>
      <w:r>
        <w:rPr>
          <w:rFonts w:ascii="Arial" w:hAnsi="Arial"/>
          <w:b w:val="0"/>
          <w:i w:val="0"/>
          <w:color w:val="191818"/>
          <w:sz w:val="22"/>
        </w:rPr>
        <w:t>Use feature flags for grant creation, public read, approve, revision and optional undo. A read-only pilot can validate identity, performance and UI before any customer write is enabled.</w:t>
      </w:r>
    </w:p>
    <w:p>
      <w:pPr>
        <w:pStyle w:val="Heading1"/>
        <w:keepNext/>
      </w:pPr>
      <w:r>
        <w:rPr>
          <w:rFonts w:ascii="Arial" w:hAnsi="Arial"/>
          <w:b/>
          <w:color w:val="39523B"/>
          <w:sz w:val="32"/>
        </w:rPr>
        <w:t>16. Risks and tradeoffs</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2200"/>
        <w:gridCol w:w="3420"/>
        <w:gridCol w:w="3740"/>
      </w:tblGrid>
      <w:tr>
        <w:trPr>
          <w:tblHeader w:val="true"/>
        </w:trPr>
        <w:tc>
          <w:tcPr>
            <w:tcW w:type="dxa" w:w="220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Risk</w:t>
            </w:r>
          </w:p>
        </w:tc>
        <w:tc>
          <w:tcPr>
            <w:tcW w:type="dxa" w:w="342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Why it matters</w:t>
            </w:r>
          </w:p>
        </w:tc>
        <w:tc>
          <w:tcPr>
            <w:tcW w:type="dxa" w:w="374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Mitigation</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6"/>
              </w:rPr>
              <w:t>Treating Status as Proof persistence</w:t>
            </w:r>
          </w:p>
        </w:tc>
        <w:tc>
          <w:tcPr>
            <w:tcW w:type="dxa" w:w="3420"/>
            <w:tcMar>
              <w:top w:w="80" w:type="dxa"/>
              <w:bottom w:w="80" w:type="dxa"/>
              <w:start w:w="120" w:type="dxa"/>
              <w:end w:w="120" w:type="dxa"/>
            </w:tcMar>
            <w:vAlign w:val="center"/>
          </w:tcPr>
          <w:p>
            <w:pPr>
              <w:spacing w:before="0" w:after="0" w:line="259" w:lineRule="auto"/>
            </w:pPr>
            <w:r>
              <w:rPr>
                <w:rFonts w:ascii="Arial" w:hAnsi="Arial"/>
                <w:color w:val="191818"/>
                <w:sz w:val="16"/>
              </w:rPr>
              <w:t>Status snapshots are read-optimized and job-dependent; concurrent writes/history would be fragile.</w:t>
            </w:r>
          </w:p>
        </w:tc>
        <w:tc>
          <w:tcPr>
            <w:tcW w:type="dxa" w:w="3740"/>
            <w:tcMar>
              <w:top w:w="80" w:type="dxa"/>
              <w:bottom w:w="80" w:type="dxa"/>
              <w:start w:w="120" w:type="dxa"/>
              <w:end w:w="120" w:type="dxa"/>
            </w:tcMar>
            <w:vAlign w:val="center"/>
          </w:tcPr>
          <w:p>
            <w:pPr>
              <w:spacing w:before="0" w:after="0" w:line="259" w:lineRule="auto"/>
            </w:pPr>
            <w:r>
              <w:rPr>
                <w:rFonts w:ascii="Arial" w:hAnsi="Arial"/>
                <w:color w:val="191818"/>
                <w:sz w:val="16"/>
              </w:rPr>
              <w:t>Dedicated Proof core/audit tables and direct-order aggregate.</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6"/>
              </w:rPr>
              <w:t>Attachment/line identity confusion</w:t>
            </w:r>
          </w:p>
        </w:tc>
        <w:tc>
          <w:tcPr>
            <w:tcW w:type="dxa" w:w="3420"/>
            <w:tcMar>
              <w:top w:w="80" w:type="dxa"/>
              <w:bottom w:w="80" w:type="dxa"/>
              <w:start w:w="120" w:type="dxa"/>
              <w:end w:w="120" w:type="dxa"/>
            </w:tcMar>
            <w:vAlign w:val="center"/>
          </w:tcPr>
          <w:p>
            <w:pPr>
              <w:spacing w:before="0" w:after="0" w:line="259" w:lineRule="auto"/>
            </w:pPr>
            <w:r>
              <w:rPr>
                <w:rFonts w:ascii="Arial" w:hAnsi="Arial"/>
                <w:color w:val="191818"/>
                <w:sz w:val="16"/>
              </w:rPr>
              <w:t>A shared line can have multiple proofs; wrong target is a production error.</w:t>
            </w:r>
          </w:p>
        </w:tc>
        <w:tc>
          <w:tcPr>
            <w:tcW w:type="dxa" w:w="3740"/>
            <w:tcMar>
              <w:top w:w="80" w:type="dxa"/>
              <w:bottom w:w="80" w:type="dxa"/>
              <w:start w:w="120" w:type="dxa"/>
              <w:end w:w="120" w:type="dxa"/>
            </w:tcMar>
            <w:vAlign w:val="center"/>
          </w:tcPr>
          <w:p>
            <w:pPr>
              <w:spacing w:before="0" w:after="0" w:line="259" w:lineRule="auto"/>
            </w:pPr>
            <w:r>
              <w:rPr>
                <w:rFonts w:ascii="Arial" w:hAnsi="Arial"/>
                <w:color w:val="191818"/>
                <w:sz w:val="16"/>
              </w:rPr>
              <w:t>ATTACHMENT_ID for decisions; ORDER_LINE_ID for grouping; fixtures and conditional writes.</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6"/>
              </w:rPr>
              <w:t>Raw bearer token leakage</w:t>
            </w:r>
          </w:p>
        </w:tc>
        <w:tc>
          <w:tcPr>
            <w:tcW w:type="dxa" w:w="3420"/>
            <w:tcMar>
              <w:top w:w="80" w:type="dxa"/>
              <w:bottom w:w="80" w:type="dxa"/>
              <w:start w:w="120" w:type="dxa"/>
              <w:end w:w="120" w:type="dxa"/>
            </w:tcMar>
            <w:vAlign w:val="center"/>
          </w:tcPr>
          <w:p>
            <w:pPr>
              <w:spacing w:before="0" w:after="0" w:line="259" w:lineRule="auto"/>
            </w:pPr>
            <w:r>
              <w:rPr>
                <w:rFonts w:ascii="Arial" w:hAnsi="Arial"/>
                <w:color w:val="191818"/>
                <w:sz w:val="16"/>
              </w:rPr>
              <w:t>Email link grants access; write-capable link has higher impact than Status.</w:t>
            </w:r>
          </w:p>
        </w:tc>
        <w:tc>
          <w:tcPr>
            <w:tcW w:type="dxa" w:w="3740"/>
            <w:tcMar>
              <w:top w:w="80" w:type="dxa"/>
              <w:bottom w:w="80" w:type="dxa"/>
              <w:start w:w="120" w:type="dxa"/>
              <w:end w:w="120" w:type="dxa"/>
            </w:tcMar>
            <w:vAlign w:val="center"/>
          </w:tcPr>
          <w:p>
            <w:pPr>
              <w:spacing w:before="0" w:after="0" w:line="259" w:lineRule="auto"/>
            </w:pPr>
            <w:r>
              <w:rPr>
                <w:rFonts w:ascii="Arial" w:hAnsi="Arial"/>
                <w:color w:val="191818"/>
                <w:sz w:val="16"/>
              </w:rPr>
              <w:t>Fragment exchange, HttpOnly session, no-referrer/CSP, hashed tokens, revocation and WAF.</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6"/>
              </w:rPr>
              <w:t>Lift latency/schema drift</w:t>
            </w:r>
          </w:p>
        </w:tc>
        <w:tc>
          <w:tcPr>
            <w:tcW w:type="dxa" w:w="3420"/>
            <w:tcMar>
              <w:top w:w="80" w:type="dxa"/>
              <w:bottom w:w="80" w:type="dxa"/>
              <w:start w:w="120" w:type="dxa"/>
              <w:end w:w="120" w:type="dxa"/>
            </w:tcMar>
            <w:vAlign w:val="center"/>
          </w:tcPr>
          <w:p>
            <w:pPr>
              <w:spacing w:before="0" w:after="0" w:line="259" w:lineRule="auto"/>
            </w:pPr>
            <w:r>
              <w:rPr>
                <w:rFonts w:ascii="Arial" w:hAnsi="Arial"/>
                <w:color w:val="191818"/>
                <w:sz w:val="16"/>
              </w:rPr>
              <w:t>Page loads and writes can time out or mis-normalize.</w:t>
            </w:r>
          </w:p>
        </w:tc>
        <w:tc>
          <w:tcPr>
            <w:tcW w:type="dxa" w:w="3740"/>
            <w:tcMar>
              <w:top w:w="80" w:type="dxa"/>
              <w:bottom w:w="80" w:type="dxa"/>
              <w:start w:w="120" w:type="dxa"/>
              <w:end w:w="120" w:type="dxa"/>
            </w:tcMar>
            <w:vAlign w:val="center"/>
          </w:tcPr>
          <w:p>
            <w:pPr>
              <w:spacing w:before="0" w:after="0" w:line="259" w:lineRule="auto"/>
            </w:pPr>
            <w:r>
              <w:rPr>
                <w:rFonts w:ascii="Arial" w:hAnsi="Arial"/>
                <w:color w:val="191818"/>
                <w:sz w:val="16"/>
              </w:rPr>
              <w:t>Cached reads, worker, redacted health tests, schema alarms and compatibility fallback.</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6"/>
              </w:rPr>
              <w:t>Uncertain write replay</w:t>
            </w:r>
          </w:p>
        </w:tc>
        <w:tc>
          <w:tcPr>
            <w:tcW w:type="dxa" w:w="3420"/>
            <w:tcMar>
              <w:top w:w="80" w:type="dxa"/>
              <w:bottom w:w="80" w:type="dxa"/>
              <w:start w:w="120" w:type="dxa"/>
              <w:end w:w="120" w:type="dxa"/>
            </w:tcMar>
            <w:vAlign w:val="center"/>
          </w:tcPr>
          <w:p>
            <w:pPr>
              <w:spacing w:before="0" w:after="0" w:line="259" w:lineRule="auto"/>
            </w:pPr>
            <w:r>
              <w:rPr>
                <w:rFonts w:ascii="Arial" w:hAnsi="Arial"/>
                <w:color w:val="191818"/>
                <w:sz w:val="16"/>
              </w:rPr>
              <w:t>Blind retry could duplicate/toggle decision state.</w:t>
            </w:r>
          </w:p>
        </w:tc>
        <w:tc>
          <w:tcPr>
            <w:tcW w:type="dxa" w:w="3740"/>
            <w:tcMar>
              <w:top w:w="80" w:type="dxa"/>
              <w:bottom w:w="80" w:type="dxa"/>
              <w:start w:w="120" w:type="dxa"/>
              <w:end w:w="120" w:type="dxa"/>
            </w:tcMar>
            <w:vAlign w:val="center"/>
          </w:tcPr>
          <w:p>
            <w:pPr>
              <w:spacing w:before="0" w:after="0" w:line="259" w:lineRule="auto"/>
            </w:pPr>
            <w:r>
              <w:rPr>
                <w:rFonts w:ascii="Arial" w:hAnsi="Arial"/>
                <w:color w:val="191818"/>
                <w:sz w:val="16"/>
              </w:rPr>
              <w:t>Idempotency plus reconciliation-before-retry.</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6"/>
              </w:rPr>
              <w:t>Revision delivery redirect/MIME</w:t>
            </w:r>
          </w:p>
        </w:tc>
        <w:tc>
          <w:tcPr>
            <w:tcW w:type="dxa" w:w="3420"/>
            <w:tcMar>
              <w:top w:w="80" w:type="dxa"/>
              <w:bottom w:w="80" w:type="dxa"/>
              <w:start w:w="120" w:type="dxa"/>
              <w:end w:w="120" w:type="dxa"/>
            </w:tcMar>
            <w:vAlign w:val="center"/>
          </w:tcPr>
          <w:p>
            <w:pPr>
              <w:spacing w:before="0" w:after="0" w:line="259" w:lineRule="auto"/>
            </w:pPr>
            <w:r>
              <w:rPr>
                <w:rFonts w:ascii="Arial" w:hAnsi="Arial"/>
                <w:color w:val="191818"/>
                <w:sz w:val="16"/>
              </w:rPr>
              <w:t>Lift preflight may fail or report NoSuchKey/PREFLIGHT_XML.</w:t>
            </w:r>
          </w:p>
        </w:tc>
        <w:tc>
          <w:tcPr>
            <w:tcW w:type="dxa" w:w="3740"/>
            <w:tcMar>
              <w:top w:w="80" w:type="dxa"/>
              <w:bottom w:w="80" w:type="dxa"/>
              <w:start w:w="120" w:type="dxa"/>
              <w:end w:w="120" w:type="dxa"/>
            </w:tcMar>
            <w:vAlign w:val="center"/>
          </w:tcPr>
          <w:p>
            <w:pPr>
              <w:spacing w:before="0" w:after="0" w:line="259" w:lineRule="auto"/>
            </w:pPr>
            <w:r>
              <w:rPr>
                <w:rFonts w:ascii="Arial" w:hAnsi="Arial"/>
                <w:color w:val="191818"/>
                <w:sz w:val="16"/>
              </w:rPr>
              <w:t>Direct signed CloudFront 200, explicit metadata, HeadObject, QA contract tests.</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6"/>
              </w:rPr>
              <w:t>Security scope creep</w:t>
            </w:r>
          </w:p>
        </w:tc>
        <w:tc>
          <w:tcPr>
            <w:tcW w:type="dxa" w:w="3420"/>
            <w:tcMar>
              <w:top w:w="80" w:type="dxa"/>
              <w:bottom w:w="80" w:type="dxa"/>
              <w:start w:w="120" w:type="dxa"/>
              <w:end w:w="120" w:type="dxa"/>
            </w:tcMar>
            <w:vAlign w:val="center"/>
          </w:tcPr>
          <w:p>
            <w:pPr>
              <w:spacing w:before="0" w:after="0" w:line="259" w:lineRule="auto"/>
            </w:pPr>
            <w:r>
              <w:rPr>
                <w:rFonts w:ascii="Arial" w:hAnsi="Arial"/>
                <w:color w:val="191818"/>
                <w:sz w:val="16"/>
              </w:rPr>
              <w:t>Self-service link requests, shared participants and Status bridging affect authorization.</w:t>
            </w:r>
          </w:p>
        </w:tc>
        <w:tc>
          <w:tcPr>
            <w:tcW w:type="dxa" w:w="3740"/>
            <w:tcMar>
              <w:top w:w="80" w:type="dxa"/>
              <w:bottom w:w="80" w:type="dxa"/>
              <w:start w:w="120" w:type="dxa"/>
              <w:end w:w="120" w:type="dxa"/>
            </w:tcMar>
            <w:vAlign w:val="center"/>
          </w:tcPr>
          <w:p>
            <w:pPr>
              <w:spacing w:before="0" w:after="0" w:line="259" w:lineRule="auto"/>
            </w:pPr>
            <w:r>
              <w:rPr>
                <w:rFonts w:ascii="Arial" w:hAnsi="Arial"/>
                <w:color w:val="191818"/>
                <w:sz w:val="16"/>
              </w:rPr>
              <w:t>Decide issuance policy before writes; separate grants/scopes and audit.</w:t>
            </w:r>
          </w:p>
        </w:tc>
      </w:tr>
      <w:tr>
        <w:tc>
          <w:tcPr>
            <w:tcW w:type="dxa" w:w="2200"/>
            <w:tcMar>
              <w:top w:w="80" w:type="dxa"/>
              <w:bottom w:w="80" w:type="dxa"/>
              <w:start w:w="120" w:type="dxa"/>
              <w:end w:w="120" w:type="dxa"/>
            </w:tcMar>
            <w:vAlign w:val="center"/>
          </w:tcPr>
          <w:p>
            <w:pPr>
              <w:spacing w:before="0" w:after="0" w:line="259" w:lineRule="auto"/>
            </w:pPr>
            <w:r>
              <w:rPr>
                <w:rFonts w:ascii="Arial" w:hAnsi="Arial"/>
                <w:color w:val="191818"/>
                <w:sz w:val="16"/>
              </w:rPr>
              <w:t>Brand drift</w:t>
            </w:r>
          </w:p>
        </w:tc>
        <w:tc>
          <w:tcPr>
            <w:tcW w:type="dxa" w:w="3420"/>
            <w:tcMar>
              <w:top w:w="80" w:type="dxa"/>
              <w:bottom w:w="80" w:type="dxa"/>
              <w:start w:w="120" w:type="dxa"/>
              <w:end w:w="120" w:type="dxa"/>
            </w:tcMar>
            <w:vAlign w:val="center"/>
          </w:tcPr>
          <w:p>
            <w:pPr>
              <w:spacing w:before="0" w:after="0" w:line="259" w:lineRule="auto"/>
            </w:pPr>
            <w:r>
              <w:rPr>
                <w:rFonts w:ascii="Arial" w:hAnsi="Arial"/>
                <w:color w:val="191818"/>
                <w:sz w:val="16"/>
              </w:rPr>
              <w:t>Copying Adspace styling/components can leak terminology and inconsistent tokens.</w:t>
            </w:r>
          </w:p>
        </w:tc>
        <w:tc>
          <w:tcPr>
            <w:tcW w:type="dxa" w:w="3740"/>
            <w:tcMar>
              <w:top w:w="80" w:type="dxa"/>
              <w:bottom w:w="80" w:type="dxa"/>
              <w:start w:w="120" w:type="dxa"/>
              <w:end w:w="120" w:type="dxa"/>
            </w:tcMar>
            <w:vAlign w:val="center"/>
          </w:tcPr>
          <w:p>
            <w:pPr>
              <w:spacing w:before="0" w:after="0" w:line="259" w:lineRule="auto"/>
            </w:pPr>
            <w:r>
              <w:rPr>
                <w:rFonts w:ascii="Arial" w:hAnsi="Arial"/>
                <w:color w:val="191818"/>
                <w:sz w:val="16"/>
              </w:rPr>
              <w:t>Vornan token package, artifact checklist and screenshot-based visual QA.</w:t>
            </w:r>
          </w:p>
        </w:tc>
      </w:tr>
    </w:tbl>
    <w:p>
      <w:pPr>
        <w:spacing w:after="60"/>
      </w:pPr>
    </w:p>
    <w:p>
      <w:pPr>
        <w:pStyle w:val="Heading1"/>
        <w:keepNext/>
      </w:pPr>
      <w:r>
        <w:rPr>
          <w:rFonts w:ascii="Arial" w:hAnsi="Arial"/>
          <w:b/>
          <w:color w:val="39523B"/>
          <w:sz w:val="32"/>
        </w:rPr>
        <w:t>17. Pilot definition of done</w:t>
      </w:r>
    </w:p>
    <w:p>
      <w:pPr>
        <w:pStyle w:val="VornanBullet"/>
        <w:spacing w:after="160" w:line="280" w:lineRule="auto"/>
        <w:ind w:left="720" w:hanging="360"/>
      </w:pPr>
      <w:r>
        <w:rPr>
          <w:rFonts w:ascii="Arial" w:hAnsi="Arial"/>
          <w:color w:val="191818"/>
          <w:sz w:val="21"/>
        </w:rPr>
        <w:t>Operator can create, list, revoke and regenerate a scoped link from an existing Lift order number.</w:t>
      </w:r>
    </w:p>
    <w:p>
      <w:pPr>
        <w:pStyle w:val="VornanBullet"/>
        <w:spacing w:after="160" w:line="280" w:lineRule="auto"/>
        <w:ind w:left="720" w:hanging="360"/>
      </w:pPr>
      <w:r>
        <w:rPr>
          <w:rFonts w:ascii="Arial" w:hAnsi="Arial"/>
          <w:color w:val="191818"/>
          <w:sz w:val="21"/>
        </w:rPr>
        <w:t>Recipient opens without Pathfinder login and can see only the granted order.</w:t>
      </w:r>
    </w:p>
    <w:p>
      <w:pPr>
        <w:pStyle w:val="VornanBullet"/>
        <w:spacing w:after="160" w:line="280" w:lineRule="auto"/>
        <w:ind w:left="720" w:hanging="360"/>
      </w:pPr>
      <w:r>
        <w:rPr>
          <w:rFonts w:ascii="Arial" w:hAnsi="Arial"/>
          <w:color w:val="191818"/>
          <w:sz w:val="21"/>
        </w:rPr>
        <w:t>Every active ATTACHMENT_ID appears once; siblings sharing a line remain distinct.</w:t>
      </w:r>
    </w:p>
    <w:p>
      <w:pPr>
        <w:pStyle w:val="VornanBullet"/>
        <w:spacing w:after="160" w:line="280" w:lineRule="auto"/>
        <w:ind w:left="720" w:hanging="360"/>
      </w:pPr>
      <w:r>
        <w:rPr>
          <w:rFonts w:ascii="Arial" w:hAnsi="Arial"/>
          <w:color w:val="191818"/>
          <w:sz w:val="21"/>
        </w:rPr>
        <w:t>Feedback gates only the current attachment and resets when feedback changes.</w:t>
      </w:r>
    </w:p>
    <w:p>
      <w:pPr>
        <w:pStyle w:val="VornanBullet"/>
        <w:spacing w:after="160" w:line="280" w:lineRule="auto"/>
        <w:ind w:left="720" w:hanging="360"/>
      </w:pPr>
      <w:r>
        <w:rPr>
          <w:rFonts w:ascii="Arial" w:hAnsi="Arial"/>
          <w:color w:val="191818"/>
          <w:sz w:val="21"/>
        </w:rPr>
        <w:t>Approval reaches the correct Lift attachment and the UI settles only after Lift confirmation/reconciliation.</w:t>
      </w:r>
    </w:p>
    <w:p>
      <w:pPr>
        <w:pStyle w:val="VornanBullet"/>
        <w:spacing w:after="160" w:line="280" w:lineRule="auto"/>
        <w:ind w:left="720" w:hanging="360"/>
      </w:pPr>
      <w:r>
        <w:rPr>
          <w:rFonts w:ascii="Arial" w:hAnsi="Arial"/>
          <w:color w:val="191818"/>
          <w:sz w:val="21"/>
        </w:rPr>
        <w:t>Revision reaches private S3, direct signed delivery, Lift and regenerated-proof state; old proof is not left actionable.</w:t>
      </w:r>
    </w:p>
    <w:p>
      <w:pPr>
        <w:pStyle w:val="VornanBullet"/>
        <w:spacing w:after="160" w:line="280" w:lineRule="auto"/>
        <w:ind w:left="720" w:hanging="360"/>
      </w:pPr>
      <w:r>
        <w:rPr>
          <w:rFonts w:ascii="Arial" w:hAnsi="Arial"/>
          <w:color w:val="191818"/>
          <w:sz w:val="21"/>
        </w:rPr>
        <w:t>Production/completed proofs stay browsable and read-only; missing/cancelled state is non-destructive.</w:t>
      </w:r>
    </w:p>
    <w:p>
      <w:pPr>
        <w:pStyle w:val="VornanBullet"/>
        <w:spacing w:after="160" w:line="280" w:lineRule="auto"/>
        <w:ind w:left="720" w:hanging="360"/>
      </w:pPr>
      <w:r>
        <w:rPr>
          <w:rFonts w:ascii="Arial" w:hAnsi="Arial"/>
          <w:color w:val="191818"/>
          <w:sz w:val="21"/>
        </w:rPr>
        <w:t>Expired/revoked tokens and cross-order/task attacks fail safely.</w:t>
      </w:r>
    </w:p>
    <w:p>
      <w:pPr>
        <w:pStyle w:val="VornanBullet"/>
        <w:spacing w:after="160" w:line="280" w:lineRule="auto"/>
        <w:ind w:left="720" w:hanging="360"/>
      </w:pPr>
      <w:r>
        <w:rPr>
          <w:rFonts w:ascii="Arial" w:hAnsi="Arial"/>
          <w:color w:val="191818"/>
          <w:sz w:val="21"/>
        </w:rPr>
        <w:t>Audit identifies order, task, line, attachment, grant, participant, action and time without sensitive material.</w:t>
      </w:r>
    </w:p>
    <w:p>
      <w:pPr>
        <w:pStyle w:val="VornanBullet"/>
        <w:spacing w:after="160" w:line="280" w:lineRule="auto"/>
        <w:ind w:left="720" w:hanging="360"/>
      </w:pPr>
      <w:r>
        <w:rPr>
          <w:rFonts w:ascii="Arial" w:hAnsi="Arial"/>
          <w:color w:val="191818"/>
          <w:sz w:val="21"/>
        </w:rPr>
        <w:t>CloudWatch/WAF/DLQ/retention/runbooks are active; no token, secret, JWT or signed URL appears in logs.</w:t>
      </w:r>
    </w:p>
    <w:p>
      <w:pPr>
        <w:pStyle w:val="VornanBullet"/>
        <w:spacing w:after="160" w:line="280" w:lineRule="auto"/>
        <w:ind w:left="720" w:hanging="360"/>
      </w:pPr>
      <w:r>
        <w:rPr>
          <w:rFonts w:ascii="Arial" w:hAnsi="Arial"/>
          <w:color w:val="191818"/>
          <w:sz w:val="21"/>
        </w:rPr>
        <w:t>Desktop/tablet/mobile/accessibility suites pass and no Adspace artifacts remain.</w:t>
      </w:r>
    </w:p>
    <w:p>
      <w:pPr>
        <w:pStyle w:val="Heading1"/>
        <w:keepNext/>
      </w:pPr>
      <w:r>
        <w:rPr>
          <w:rFonts w:ascii="Arial" w:hAnsi="Arial"/>
          <w:b/>
          <w:color w:val="39523B"/>
          <w:sz w:val="32"/>
        </w:rPr>
        <w:t>18. Decision register (updated July 20, 2026)</w:t>
      </w:r>
    </w:p>
    <w:p>
      <w:pPr>
        <w:spacing w:before="0" w:after="120" w:line="264" w:lineRule="auto"/>
      </w:pPr>
      <w:r>
        <w:rPr>
          <w:rFonts w:ascii="Arial" w:hAnsi="Arial"/>
          <w:b w:val="0"/>
          <w:i w:val="0"/>
          <w:color w:val="191818"/>
          <w:sz w:val="22"/>
        </w:rPr>
        <w:t>All 38 architecture and product decisions now have recorded direction. P10's response target and escalation remain a pre-pilot operating detail, and the alternate ZIP/package workflow is explicitly deferred. Accepted defaults are implementation decisions unless a later change is explicitly approved.</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650"/>
        <w:gridCol w:w="3000"/>
        <w:gridCol w:w="4510"/>
        <w:gridCol w:w="1200"/>
      </w:tblGrid>
      <w:tr>
        <w:trPr>
          <w:tblHeader w:val="true"/>
        </w:trPr>
        <w:tc>
          <w:tcPr>
            <w:tcW w:type="dxa" w:w="650"/>
            <w:shd w:fill="EEF3EB"/>
            <w:tcMar>
              <w:top w:w="80" w:type="dxa"/>
              <w:bottom w:w="80" w:type="dxa"/>
              <w:start w:w="120" w:type="dxa"/>
              <w:end w:w="120" w:type="dxa"/>
            </w:tcMar>
            <w:vAlign w:val="center"/>
          </w:tcPr>
          <w:p>
            <w:pPr>
              <w:spacing w:before="0" w:after="0" w:line="259" w:lineRule="auto"/>
            </w:pPr>
            <w:r>
              <w:rPr>
                <w:rFonts w:ascii="Arial" w:hAnsi="Arial"/>
                <w:b/>
                <w:color w:val="39523B"/>
                <w:sz w:val="15"/>
              </w:rPr>
              <w:t>ID</w:t>
            </w:r>
          </w:p>
        </w:tc>
        <w:tc>
          <w:tcPr>
            <w:tcW w:type="dxa" w:w="3000"/>
            <w:shd w:fill="EEF3EB"/>
            <w:tcMar>
              <w:top w:w="80" w:type="dxa"/>
              <w:bottom w:w="80" w:type="dxa"/>
              <w:start w:w="120" w:type="dxa"/>
              <w:end w:w="120" w:type="dxa"/>
            </w:tcMar>
            <w:vAlign w:val="center"/>
          </w:tcPr>
          <w:p>
            <w:pPr>
              <w:spacing w:before="0" w:after="0" w:line="259" w:lineRule="auto"/>
            </w:pPr>
            <w:r>
              <w:rPr>
                <w:rFonts w:ascii="Arial" w:hAnsi="Arial"/>
                <w:b/>
                <w:color w:val="39523B"/>
                <w:sz w:val="15"/>
              </w:rPr>
              <w:t>Decision needed</w:t>
            </w:r>
          </w:p>
        </w:tc>
        <w:tc>
          <w:tcPr>
            <w:tcW w:type="dxa" w:w="4510"/>
            <w:shd w:fill="EEF3EB"/>
            <w:tcMar>
              <w:top w:w="80" w:type="dxa"/>
              <w:bottom w:w="80" w:type="dxa"/>
              <w:start w:w="120" w:type="dxa"/>
              <w:end w:w="120" w:type="dxa"/>
            </w:tcMar>
            <w:vAlign w:val="center"/>
          </w:tcPr>
          <w:p>
            <w:pPr>
              <w:spacing w:before="0" w:after="0" w:line="259" w:lineRule="auto"/>
            </w:pPr>
            <w:r>
              <w:rPr>
                <w:rFonts w:ascii="Arial" w:hAnsi="Arial"/>
                <w:b/>
                <w:color w:val="39523B"/>
                <w:sz w:val="15"/>
              </w:rPr>
              <w:t>Recorded answer</w:t>
            </w:r>
          </w:p>
        </w:tc>
        <w:tc>
          <w:tcPr>
            <w:tcW w:type="dxa" w:w="1200"/>
            <w:shd w:fill="EEF3EB"/>
            <w:tcMar>
              <w:top w:w="80" w:type="dxa"/>
              <w:bottom w:w="80" w:type="dxa"/>
              <w:start w:w="120" w:type="dxa"/>
              <w:end w:w="120" w:type="dxa"/>
            </w:tcMar>
            <w:vAlign w:val="center"/>
          </w:tcPr>
          <w:p>
            <w:pPr>
              <w:spacing w:before="0" w:after="0" w:line="259" w:lineRule="auto"/>
            </w:pPr>
            <w:r>
              <w:rPr>
                <w:rFonts w:ascii="Arial" w:hAnsi="Arial"/>
                <w:b/>
                <w:color w:val="39523B"/>
                <w:sz w:val="15"/>
              </w:rPr>
              <w:t>Status</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L1</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Lift QA endpoint set and proof-write credentials?</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QA uses a distinct endpoint but currently shares production credentials. Require an isolated QA endpoint lifecycle before implementing Vornan Proof writes; record dedicated QA credentials as a hardening action.</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L2</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Do AS360Orders / AS360ProofReport reads require custom headers or Basic Auth in Pathfinder’s runtime?</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No custom headers or Basic Auth are required for AS360Orders or AS360ProofReport reads.</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L3</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Confirm final Lift order-number syntax and length.</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Start with uppercase A + 7–8 digits; reject absent orders as 404 internally.</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L4</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Confirm proof-review step IDs/numbers, cancellation signals and re-entry behavior.</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Use the handoff mapping as fixtures, but require Lift owner sign-off before writes.</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L5</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Does approveQuantity remain 1?</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Keep 1 until Lift confirms it is not production quantity.</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L6</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Confirm approve/undo/revision body fields, reject reasons, username and success/error shapes.</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Use VORNAN_PROOF integration identity and documented bodies; contract-test exact responses.</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L7</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Does Lift ever reuse/change ATTACHMENT_ID for regenerated proofs?</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Assume new/changed IDs create versions; preserve all prior history.</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L8</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Accepted revision extensions, MIME types, maximum bytes and preflight restrictions?</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 PDF, PNG, JPEG/JPG, TIFF, PSD, AI, EPS and INDD. Support at least 800 MB and architect for larger files with resumable multipart upload. Lift does not accept ZIP artwork; defer a separate package-intake workflow.</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 ZIP workflow deferred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L9</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Does Lift fetch signed URLs immediately and within what maximum delay?</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24-hour signed URL; outbound objects retained 14 days.</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L10</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Is antivirus/content scanning required before Lift receives customer art?</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Enable managed/queued scanning for pilot if security policy requires; at minimum magic-byte validation.</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P1</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Who may create a Proof link: operator only, automation, or customer self-service?</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Operator/automation primary. Defer customer self-service decision grants until verified policy exists.</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P2</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If self-service is allowed, may it issue decision grants or view-only grants?</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View-only or email-verified decision grant only after proof-enabled order + associated-email checks; neutral 202.</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P3</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Default grant expiration and are non-expiring grants allowed?</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14 days for active proof cycles; explicit operator extension; no non-expiring public grants.</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P4</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Require name/email before viewing or only before writing?</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Allow view, require identity before first write.</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P5</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Can participants see other reviewers’ names/activity?</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Show aggregate activity only; names remain operator/audit-only unless approved.</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P6</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Should view-only scope exist in v1?</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Yes; useful for support, internal sharing and staged rollout.</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P7</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Allow undo/reject of approval?</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Hide in customer v1 unless Lift/business policy explicitly requires it; operators can reconcile through controlled tooling.</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P8</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Can one grant include multiple orders?</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No in v1. One grant/aggregate/order reduces authorization and audit ambiguity.</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P9</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What happens after every proof is approved?</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Read-only success state + event to Pathfinder; no automatic production mutation outside Lift.</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P10</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Customer support destination and SLA?</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Use support@vornan.com as the monitored customer-support destination. Vornan owns it and it is ready as a Google Workspace group. Define the initial-response target and escalation path before pilot.</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 SLA before pilot</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U1</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Approved customer product name: “Vornan Proof”, “Proof by Vornan”, or another lockup?</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Use Vornan wordmark + Proof until brand supplies a final lockup asset.</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U2</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Should customer header include Pathfinder identity?</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No; Vornan Proof primary. Pathfinder may appear only in legal/help metadata if desired.</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U3</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Is dark mode required for v1?</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No; light-first. Add only after proof-neutral canvas and contrast testing.</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U4</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Is original/customer artwork available from Lift or Pathfinder for every order?</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Original/customer art is optional. It may become available from the proofing endpoint, but that source is not currently in place; center the proof when absent.</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U5</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Required file viewer behavior: lightbox, new tab, PDF paging/zoom?</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Use contained preview plus full-resolution open/download. PDF proofs and uploads will be common, so reliable PDF preview, paging/zoom or a safe fallback is required.</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U6</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Any localization or non-English requirement?</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English-only v1 with externalized strings; confirm before copy freeze.</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I1</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Should Status show an actionable Proof CTA?</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Show state only and send dedicated Proof email. Do not reuse Status token for writes.</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I2</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Which events must update Pathfinder/Status and which trigger customer email?</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Minimum: ready, revision submitted, approved, all approved, sync failed. Avoid noisy proof-change mail by default.</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I3</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Will Proof support orders not created by Pathfinder?</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Yes; direct Lift order number is the product contract.</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I4</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Is go.vornan.co required for launch?</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No. Add later as a restricted locator; fragment Proof URLs can be emailed directly.</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S1</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Retention for revisions, thumbnails, proof versions, grants and audit?</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Business-record revisions/history retained per approved policy; outbound 14 days; sessions/idempotency TTL; audit separately governed.</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S2</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SSE-S3 or customer-managed KMS?</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Use current AES256/SSE-S3 unless security policy requires CMK and operational ownership is assigned.</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S3</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Proof audit access roles and legal-hold/export needs?</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Restrict to support/platform roles; define export and hold before customer pilot.</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S4</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WAF/rate limits and maximum active sessions per grant?</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Start conservative, allow shared reviewers, monitor; set explicit token-exchange and write thresholds.</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S5</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Required RTO/RPO and incident ownership?</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DynamoDB PITR + S3 versioning; define on-call owner and customer communication runbook.</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O1</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Dev/QA/prod AWS boundaries and Lift QA availability?</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recommendation — Keep production writes gated until a complete QA approval-and-revision lifecycle succeeds.</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O2</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Who owns Lift schema drift and credential rotation?</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Named Pathfinder integration owner with alert/runbook and Secrets rotation cadence.</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r>
        <w:trPr>
          <w:cantSplit/>
        </w:trPr>
        <w:tc>
          <w:tcPr>
            <w:tcW w:type="dxa" w:w="650"/>
            <w:tcMar>
              <w:top w:w="80" w:type="dxa"/>
              <w:bottom w:w="80" w:type="dxa"/>
              <w:start w:w="120" w:type="dxa"/>
              <w:end w:w="120" w:type="dxa"/>
            </w:tcMar>
            <w:vAlign w:val="center"/>
          </w:tcPr>
          <w:p>
            <w:pPr>
              <w:spacing w:before="0" w:after="0" w:line="259" w:lineRule="auto"/>
            </w:pPr>
            <w:r>
              <w:rPr>
                <w:rFonts w:ascii="Arial" w:hAnsi="Arial"/>
                <w:color w:val="191818"/>
                <w:sz w:val="15"/>
              </w:rPr>
              <w:t>O3</w:t>
            </w:r>
          </w:p>
        </w:tc>
        <w:tc>
          <w:tcPr>
            <w:tcW w:type="dxa" w:w="3000"/>
            <w:tcMar>
              <w:top w:w="80" w:type="dxa"/>
              <w:bottom w:w="80" w:type="dxa"/>
              <w:start w:w="120" w:type="dxa"/>
              <w:end w:w="120" w:type="dxa"/>
            </w:tcMar>
            <w:vAlign w:val="center"/>
          </w:tcPr>
          <w:p>
            <w:pPr>
              <w:spacing w:before="0" w:after="0" w:line="259" w:lineRule="auto"/>
            </w:pPr>
            <w:r>
              <w:rPr>
                <w:rFonts w:ascii="Arial" w:hAnsi="Arial"/>
                <w:color w:val="191818"/>
                <w:sz w:val="15"/>
              </w:rPr>
              <w:t>Pilot customers/orders and success criteria sign-off owner?</w:t>
            </w:r>
          </w:p>
        </w:tc>
        <w:tc>
          <w:tcPr>
            <w:tcW w:type="dxa" w:w="4510"/>
            <w:tcMar>
              <w:top w:w="80" w:type="dxa"/>
              <w:bottom w:w="80" w:type="dxa"/>
              <w:start w:w="120" w:type="dxa"/>
              <w:end w:w="120" w:type="dxa"/>
            </w:tcMar>
            <w:vAlign w:val="center"/>
          </w:tcPr>
          <w:p>
            <w:pPr>
              <w:spacing w:before="0" w:after="0" w:line="259" w:lineRule="auto"/>
            </w:pPr>
            <w:r>
              <w:rPr>
                <w:rFonts w:ascii="Arial" w:hAnsi="Arial"/>
                <w:color w:val="191818"/>
                <w:sz w:val="15"/>
              </w:rPr>
              <w:t>Accepted default — Use a small internal/customer-owned cohort covering siblings, feedback, approval, revision and completed history.</w:t>
            </w:r>
          </w:p>
        </w:tc>
        <w:tc>
          <w:tcPr>
            <w:tcW w:type="dxa" w:w="1200"/>
            <w:tcMar>
              <w:top w:w="80" w:type="dxa"/>
              <w:bottom w:w="80" w:type="dxa"/>
              <w:start w:w="120" w:type="dxa"/>
              <w:end w:w="120" w:type="dxa"/>
            </w:tcMar>
            <w:vAlign w:val="center"/>
          </w:tcPr>
          <w:p>
            <w:pPr>
              <w:spacing w:before="0" w:after="0" w:line="259" w:lineRule="auto"/>
            </w:pPr>
            <w:r>
              <w:rPr>
                <w:rFonts w:ascii="Arial" w:hAnsi="Arial"/>
                <w:color w:val="191818"/>
                <w:sz w:val="15"/>
              </w:rPr>
              <w:t>Recorded</w:t>
            </w:r>
          </w:p>
        </w:tc>
      </w:tr>
    </w:tbl>
    <w:p>
      <w:pPr>
        <w:spacing w:after="60"/>
      </w:pPr>
    </w:p>
    <w:p>
      <w:pPr>
        <w:pStyle w:val="Heading2"/>
        <w:keepNext/>
      </w:pPr>
      <w:r>
        <w:rPr>
          <w:rFonts w:ascii="Arial" w:hAnsi="Arial"/>
          <w:b/>
          <w:color w:val="39523B"/>
          <w:sz w:val="26"/>
        </w:rPr>
        <w:t>18.1 Deferred operating follow-ups</w:t>
      </w:r>
    </w:p>
    <w:p>
      <w:pPr>
        <w:pStyle w:val="VornanBullet"/>
        <w:spacing w:after="160" w:line="280" w:lineRule="auto"/>
        <w:ind w:left="720" w:hanging="360"/>
      </w:pPr>
      <w:r>
        <w:rPr>
          <w:rFonts w:ascii="Arial" w:hAnsi="Arial"/>
          <w:color w:val="191818"/>
          <w:sz w:val="21"/>
        </w:rPr>
        <w:t>P10 — Set the initial response target and escalation path for the support@vornan.com Google Workspace group before pilot.</w:t>
      </w:r>
    </w:p>
    <w:p>
      <w:pPr>
        <w:pStyle w:val="VornanBullet"/>
        <w:spacing w:after="160" w:line="280" w:lineRule="auto"/>
        <w:ind w:left="720" w:hanging="360"/>
      </w:pPr>
      <w:r>
        <w:rPr>
          <w:rFonts w:ascii="Arial" w:hAnsi="Arial"/>
          <w:color w:val="191818"/>
          <w:sz w:val="21"/>
        </w:rPr>
        <w:t>ZIP/package intake — Design an alternate private workflow later if linked-asset packages are required. ZIP files must not be submitted to Lift as artwork; quarantine, scan and mediate any future package workflow through an operator.</w:t>
      </w:r>
    </w:p>
    <w:p>
      <w:pPr>
        <w:pStyle w:val="Heading1"/>
        <w:keepNext/>
      </w:pPr>
      <w:r>
        <w:rPr>
          <w:rFonts w:ascii="Arial" w:hAnsi="Arial"/>
          <w:b/>
          <w:color w:val="39523B"/>
          <w:sz w:val="32"/>
        </w:rPr>
        <w:t>19. Final implementation checklist</w:t>
      </w:r>
    </w:p>
    <w:p>
      <w:pPr>
        <w:pStyle w:val="VornanBullet"/>
        <w:spacing w:after="160" w:line="280" w:lineRule="auto"/>
        <w:ind w:left="720" w:hanging="360"/>
      </w:pPr>
      <w:r>
        <w:rPr>
          <w:rFonts w:ascii="Arial" w:hAnsi="Arial"/>
          <w:color w:val="191818"/>
          <w:sz w:val="21"/>
        </w:rPr>
        <w:t>Lift order number is the only required business key; direct orders do not depend on a Pathfinder job.</w:t>
      </w:r>
    </w:p>
    <w:p>
      <w:pPr>
        <w:pStyle w:val="VornanBullet"/>
        <w:spacing w:after="160" w:line="280" w:lineRule="auto"/>
        <w:ind w:left="720" w:hanging="360"/>
      </w:pPr>
      <w:r>
        <w:rPr>
          <w:rFonts w:ascii="Arial" w:hAnsi="Arial"/>
          <w:color w:val="191818"/>
          <w:sz w:val="21"/>
        </w:rPr>
        <w:t>One active task per ATTACHMENT_ID; ORDER_LINE_ID is parent context; line fallback is explicit and observable.</w:t>
      </w:r>
    </w:p>
    <w:p>
      <w:pPr>
        <w:pStyle w:val="VornanBullet"/>
        <w:spacing w:after="160" w:line="280" w:lineRule="auto"/>
        <w:ind w:left="720" w:hanging="360"/>
      </w:pPr>
      <w:r>
        <w:rPr>
          <w:rFonts w:ascii="Arial" w:hAnsi="Arial"/>
          <w:color w:val="191818"/>
          <w:sz w:val="21"/>
        </w:rPr>
        <w:t>Raw grant token is random, hashed at rest, exchanged once, removed from URL and revocable.</w:t>
      </w:r>
    </w:p>
    <w:p>
      <w:pPr>
        <w:pStyle w:val="VornanBullet"/>
        <w:spacing w:after="160" w:line="280" w:lineRule="auto"/>
        <w:ind w:left="720" w:hanging="360"/>
      </w:pPr>
      <w:r>
        <w:rPr>
          <w:rFonts w:ascii="Arial" w:hAnsi="Arial"/>
          <w:color w:val="191818"/>
          <w:sz w:val="21"/>
        </w:rPr>
        <w:t>Public writes enforce session, grant scope, participant, task/order binding, feedback fingerprint, version and idempotency.</w:t>
      </w:r>
    </w:p>
    <w:p>
      <w:pPr>
        <w:pStyle w:val="VornanBullet"/>
        <w:spacing w:after="160" w:line="280" w:lineRule="auto"/>
        <w:ind w:left="720" w:hanging="360"/>
      </w:pPr>
      <w:r>
        <w:rPr>
          <w:rFonts w:ascii="Arial" w:hAnsi="Arial"/>
          <w:color w:val="191818"/>
          <w:sz w:val="21"/>
        </w:rPr>
        <w:t>Lift writes use server-only credentials and ATTACHMENT_ID; uncertain outcomes reconcile before retry.</w:t>
      </w:r>
    </w:p>
    <w:p>
      <w:pPr>
        <w:pStyle w:val="VornanBullet"/>
        <w:spacing w:after="160" w:line="280" w:lineRule="auto"/>
        <w:ind w:left="720" w:hanging="360"/>
      </w:pPr>
      <w:r>
        <w:rPr>
          <w:rFonts w:ascii="Arial" w:hAnsi="Arial"/>
          <w:color w:val="191818"/>
          <w:sz w:val="21"/>
        </w:rPr>
        <w:t>Revisions upload privately, including resumable multipart for 800 MB+ files, and reach Lift through a direct 200 signed URL with correct MIME/disposition; ZIP packages do not enter the Lift artwork path.</w:t>
      </w:r>
    </w:p>
    <w:p>
      <w:pPr>
        <w:pStyle w:val="VornanBullet"/>
        <w:spacing w:after="160" w:line="280" w:lineRule="auto"/>
        <w:ind w:left="720" w:hanging="360"/>
      </w:pPr>
      <w:r>
        <w:rPr>
          <w:rFonts w:ascii="Arial" w:hAnsi="Arial"/>
          <w:color w:val="191818"/>
          <w:sz w:val="21"/>
        </w:rPr>
        <w:t>Read failures/missing/cancelled states never destroy history, uploads, grants or audit.</w:t>
      </w:r>
    </w:p>
    <w:p>
      <w:pPr>
        <w:pStyle w:val="VornanBullet"/>
        <w:spacing w:after="160" w:line="280" w:lineRule="auto"/>
        <w:ind w:left="720" w:hanging="360"/>
      </w:pPr>
      <w:r>
        <w:rPr>
          <w:rFonts w:ascii="Arial" w:hAnsi="Arial"/>
          <w:color w:val="191818"/>
          <w:sz w:val="21"/>
        </w:rPr>
        <w:t>Pathfinder remains the control plane; Status remains read-only; Proof owns proof decision state and artifacts.</w:t>
      </w:r>
    </w:p>
    <w:p>
      <w:pPr>
        <w:pStyle w:val="VornanBullet"/>
        <w:spacing w:after="160" w:line="280" w:lineRule="auto"/>
        <w:ind w:left="720" w:hanging="360"/>
      </w:pPr>
      <w:r>
        <w:rPr>
          <w:rFonts w:ascii="Arial" w:hAnsi="Arial"/>
          <w:color w:val="191818"/>
          <w:sz w:val="21"/>
        </w:rPr>
        <w:t>CloudFront/OAC/WAF/CSP, Dynamo PITR, S3 versioning, Secrets Manager, SQS/DLQ, alarms and runbooks are deployed.</w:t>
      </w:r>
    </w:p>
    <w:p>
      <w:pPr>
        <w:pStyle w:val="VornanBullet"/>
        <w:spacing w:after="160" w:line="280" w:lineRule="auto"/>
        <w:ind w:left="720" w:hanging="360"/>
      </w:pPr>
      <w:r>
        <w:rPr>
          <w:rFonts w:ascii="Arial" w:hAnsi="Arial"/>
          <w:color w:val="191818"/>
          <w:sz w:val="21"/>
        </w:rPr>
        <w:t>Vornan tokens/fonts/lockup are used and every Adspace artifact check passes.</w:t>
      </w:r>
    </w:p>
    <w:p>
      <w:pPr>
        <w:pStyle w:val="VornanBullet"/>
        <w:spacing w:after="160" w:line="280" w:lineRule="auto"/>
        <w:ind w:left="720" w:hanging="360"/>
      </w:pPr>
      <w:r>
        <w:rPr>
          <w:rFonts w:ascii="Arial" w:hAnsi="Arial"/>
          <w:color w:val="191818"/>
          <w:sz w:val="21"/>
        </w:rPr>
        <w:t>Read-only, approval and revision phases each meet their exit gate before the next feature flag is enabled.</w:t>
      </w:r>
    </w:p>
    <w:p>
      <w:pPr>
        <w:pStyle w:val="Heading1"/>
        <w:keepNext/>
      </w:pPr>
      <w:r>
        <w:rPr>
          <w:rFonts w:ascii="Arial" w:hAnsi="Arial"/>
          <w:b/>
          <w:color w:val="39523B"/>
          <w:sz w:val="32"/>
        </w:rPr>
        <w:t>Appendix A. Source traceability</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4100"/>
        <w:gridCol w:w="5260"/>
      </w:tblGrid>
      <w:tr>
        <w:trPr>
          <w:tblHeader w:val="true"/>
        </w:trPr>
        <w:tc>
          <w:tcPr>
            <w:tcW w:type="dxa" w:w="410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Path / evidence</w:t>
            </w:r>
          </w:p>
        </w:tc>
        <w:tc>
          <w:tcPr>
            <w:tcW w:type="dxa" w:w="5260"/>
            <w:shd w:fill="EEF3EB"/>
            <w:tcMar>
              <w:top w:w="80" w:type="dxa"/>
              <w:bottom w:w="80" w:type="dxa"/>
              <w:start w:w="120" w:type="dxa"/>
              <w:end w:w="120" w:type="dxa"/>
            </w:tcMar>
            <w:vAlign w:val="center"/>
          </w:tcPr>
          <w:p>
            <w:pPr>
              <w:spacing w:before="0" w:after="0" w:line="259" w:lineRule="auto"/>
            </w:pPr>
            <w:r>
              <w:rPr>
                <w:rFonts w:ascii="Arial" w:hAnsi="Arial"/>
                <w:b/>
                <w:color w:val="39523B"/>
                <w:sz w:val="16"/>
              </w:rPr>
              <w:t>Use in this recommendation</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6"/>
              </w:rPr>
              <w:t>/Users/marcusdavies/Projects/adspace360/docs/Pathfinder-Proof-Standalone-Handoff.docx</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6"/>
              </w:rPr>
              <w:t>Primary product, Lift, security, data, AWS, UI, testing and decision source.</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6"/>
              </w:rPr>
              <w:t>Five screenshots on /Users/marcusdavies/Desktop</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6"/>
              </w:rPr>
              <w:t>Visual anatomy: queue/detail, two-up proofs, approval/revision dock, feedback and history modals.</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6"/>
              </w:rPr>
              <w:t>apps/status/src/main.tsx and styles.css</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6"/>
              </w:rPr>
              <w:t>Existing Vornan public access/Status UX, token parsing, Lift proof presentation and current limitations.</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6"/>
              </w:rPr>
              <w:t>apps/api/src/server.ts, store.ts, email.ts, runtime-config.ts, secrets-store.ts</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6"/>
              </w:rPr>
              <w:t>Current auth, token, Lift read, DynamoDB, SES, secrets and public request behavior.</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6"/>
              </w:rPr>
              <w:t>packages/lift-adapter and packages/ui</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6"/>
              </w:rPr>
              <w:t>Existing URL helpers, target contract and Vornan theme constants.</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6"/>
              </w:rPr>
              <w:t>infra/aws/api-cloudformation.yaml and web-cloudformation.yaml</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6"/>
              </w:rPr>
              <w:t>Current Lambda/API Gateway, DynamoDB, IAM, CloudFront/OAC and CORS patterns.</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6"/>
              </w:rPr>
              <w:t>docs/PATHFINDER_UI_BRAND_BRIEF.md</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6"/>
              </w:rPr>
              <w:t>Vornan typography, palette, logo and interface principles.</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6"/>
              </w:rPr>
              <w:t>docs/THREAD_HANDOFF_2026-07-18.md and PATHFINDER_BUILD_LOG.md</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6"/>
              </w:rPr>
              <w:t>Deployed-state evidence, live URLs, stack maturity and intentional Lift-submit gate.</w:t>
            </w:r>
          </w:p>
        </w:tc>
      </w:tr>
      <w:tr>
        <w:tc>
          <w:tcPr>
            <w:tcW w:type="dxa" w:w="4100"/>
            <w:tcMar>
              <w:top w:w="80" w:type="dxa"/>
              <w:bottom w:w="80" w:type="dxa"/>
              <w:start w:w="120" w:type="dxa"/>
              <w:end w:w="120" w:type="dxa"/>
            </w:tcMar>
            <w:vAlign w:val="center"/>
          </w:tcPr>
          <w:p>
            <w:pPr>
              <w:spacing w:before="0" w:after="0" w:line="259" w:lineRule="auto"/>
            </w:pPr>
            <w:r>
              <w:rPr>
                <w:rFonts w:ascii="Arial" w:hAnsi="Arial"/>
                <w:color w:val="191818"/>
                <w:sz w:val="16"/>
              </w:rPr>
              <w:t>Read-only AWS inspection, July 19, 2026</w:t>
            </w:r>
          </w:p>
        </w:tc>
        <w:tc>
          <w:tcPr>
            <w:tcW w:type="dxa" w:w="5260"/>
            <w:tcMar>
              <w:top w:w="80" w:type="dxa"/>
              <w:bottom w:w="80" w:type="dxa"/>
              <w:start w:w="120" w:type="dxa"/>
              <w:end w:w="120" w:type="dxa"/>
            </w:tcMar>
            <w:vAlign w:val="center"/>
          </w:tcPr>
          <w:p>
            <w:pPr>
              <w:spacing w:before="0" w:after="0" w:line="259" w:lineRule="auto"/>
            </w:pPr>
            <w:r>
              <w:rPr>
                <w:rFonts w:ascii="Arial" w:hAnsi="Arial"/>
                <w:color w:val="191818"/>
                <w:sz w:val="16"/>
              </w:rPr>
              <w:t>API/web stacks UPDATE_COMPLETE; custom API domain; 13 Pathfinder tables; status-token TTL and encrypted on-demand/PITR table.</w:t>
            </w:r>
          </w:p>
        </w:tc>
      </w:tr>
    </w:tbl>
    <w:p>
      <w:pPr>
        <w:spacing w:after="60"/>
      </w:pPr>
    </w:p>
    <w:p>
      <w:pPr>
        <w:pStyle w:val="Heading1"/>
        <w:keepNext/>
      </w:pPr>
      <w:r>
        <w:rPr>
          <w:rFonts w:ascii="Arial" w:hAnsi="Arial"/>
          <w:b/>
          <w:color w:val="39523B"/>
          <w:sz w:val="32"/>
        </w:rPr>
        <w:t>Appendix B. Architecture choices that intentionally differ from the Adspace handoff</w:t>
      </w:r>
    </w:p>
    <w:tbl>
      <w:tblPr>
        <w:tblStyle w:val="TableGrid"/>
        <w:tblW w:type="dxa" w:w="9360"/>
        <w:tblLayout w:type="fixed"/>
        <w:tblLook w:firstColumn="1" w:firstRow="1" w:lastColumn="0" w:lastRow="0" w:noHBand="0" w:noVBand="1" w:val="04A0"/>
        <w:tblInd w:w="120" w:type="dxa"/>
        <w:tblBorders>
          <w:top w:val="single" w:sz="6" w:space="0" w:color="D8DFD3"/>
          <w:left w:val="single" w:sz="6" w:space="0" w:color="D8DFD3"/>
          <w:bottom w:val="single" w:sz="6" w:space="0" w:color="D8DFD3"/>
          <w:right w:val="single" w:sz="6" w:space="0" w:color="D8DFD3"/>
          <w:insideH w:val="single" w:sz="6" w:space="0" w:color="D8DFD3"/>
          <w:insideV w:val="single" w:sz="6" w:space="0" w:color="D8DFD3"/>
        </w:tblBorders>
      </w:tblPr>
      <w:tblGrid>
        <w:gridCol w:w="3300"/>
        <w:gridCol w:w="6060"/>
      </w:tblGrid>
      <w:tr>
        <w:trPr>
          <w:tblHeader w:val="true"/>
        </w:trPr>
        <w:tc>
          <w:tcPr>
            <w:tcW w:type="dxa" w:w="330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Choice</w:t>
            </w:r>
          </w:p>
        </w:tc>
        <w:tc>
          <w:tcPr>
            <w:tcW w:type="dxa" w:w="6060"/>
            <w:shd w:fill="EEF3EB"/>
            <w:tcMar>
              <w:top w:w="80" w:type="dxa"/>
              <w:bottom w:w="80" w:type="dxa"/>
              <w:start w:w="120" w:type="dxa"/>
              <w:end w:w="120" w:type="dxa"/>
            </w:tcMar>
            <w:vAlign w:val="center"/>
          </w:tcPr>
          <w:p>
            <w:pPr>
              <w:spacing w:before="0" w:after="0" w:line="259" w:lineRule="auto"/>
            </w:pPr>
            <w:r>
              <w:rPr>
                <w:rFonts w:ascii="Arial" w:hAnsi="Arial"/>
                <w:b/>
                <w:color w:val="39523B"/>
                <w:sz w:val="18"/>
              </w:rPr>
              <w:t>Reason</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8"/>
              </w:rPr>
              <w:t>CloudFormation instead of new CDK stack</w:t>
            </w:r>
          </w:p>
        </w:tc>
        <w:tc>
          <w:tcPr>
            <w:tcW w:type="dxa" w:w="6060"/>
            <w:tcMar>
              <w:top w:w="80" w:type="dxa"/>
              <w:bottom w:w="80" w:type="dxa"/>
              <w:start w:w="120" w:type="dxa"/>
              <w:end w:w="120" w:type="dxa"/>
            </w:tcMar>
            <w:vAlign w:val="center"/>
          </w:tcPr>
          <w:p>
            <w:pPr>
              <w:spacing w:before="0" w:after="0" w:line="259" w:lineRule="auto"/>
            </w:pPr>
            <w:r>
              <w:rPr>
                <w:rFonts w:ascii="Arial" w:hAnsi="Arial"/>
                <w:color w:val="191818"/>
                <w:sz w:val="18"/>
              </w:rPr>
              <w:t>Pathfinder currently deploys CloudFormation through shell/GitHub workflows; consistency reduces toolchain and operating burden.</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8"/>
              </w:rPr>
              <w:t>Dedicated public Proof boundary</w:t>
            </w:r>
          </w:p>
        </w:tc>
        <w:tc>
          <w:tcPr>
            <w:tcW w:type="dxa" w:w="6060"/>
            <w:tcMar>
              <w:top w:w="80" w:type="dxa"/>
              <w:bottom w:w="80" w:type="dxa"/>
              <w:start w:w="120" w:type="dxa"/>
              <w:end w:w="120" w:type="dxa"/>
            </w:tcMar>
            <w:vAlign w:val="center"/>
          </w:tcPr>
          <w:p>
            <w:pPr>
              <w:spacing w:before="0" w:after="0" w:line="259" w:lineRule="auto"/>
            </w:pPr>
            <w:r>
              <w:rPr>
                <w:rFonts w:ascii="Arial" w:hAnsi="Arial"/>
                <w:color w:val="191818"/>
                <w:sz w:val="18"/>
              </w:rPr>
              <w:t>The handoff’s logical APIs map to separate Lambda/queue permissions rather than one enlarged Express Lambda.</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8"/>
              </w:rPr>
              <w:t>Same-origin public API through Proof CloudFront</w:t>
            </w:r>
          </w:p>
        </w:tc>
        <w:tc>
          <w:tcPr>
            <w:tcW w:type="dxa" w:w="6060"/>
            <w:tcMar>
              <w:top w:w="80" w:type="dxa"/>
              <w:bottom w:w="80" w:type="dxa"/>
              <w:start w:w="120" w:type="dxa"/>
              <w:end w:w="120" w:type="dxa"/>
            </w:tcMar>
            <w:vAlign w:val="center"/>
          </w:tcPr>
          <w:p>
            <w:pPr>
              <w:spacing w:before="0" w:after="0" w:line="259" w:lineRule="auto"/>
            </w:pPr>
            <w:r>
              <w:rPr>
                <w:rFonts w:ascii="Arial" w:hAnsi="Arial"/>
                <w:color w:val="191818"/>
                <w:sz w:val="18"/>
              </w:rPr>
              <w:t>Supports narrow HttpOnly cookies/CSRF without changing the shared API’s global credentialed CORS posture.</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8"/>
              </w:rPr>
              <w:t>Status projection consumes Proof state</w:t>
            </w:r>
          </w:p>
        </w:tc>
        <w:tc>
          <w:tcPr>
            <w:tcW w:type="dxa" w:w="6060"/>
            <w:tcMar>
              <w:top w:w="80" w:type="dxa"/>
              <w:bottom w:w="80" w:type="dxa"/>
              <w:start w:w="120" w:type="dxa"/>
              <w:end w:w="120" w:type="dxa"/>
            </w:tcMar>
            <w:vAlign w:val="center"/>
          </w:tcPr>
          <w:p>
            <w:pPr>
              <w:spacing w:before="0" w:after="0" w:line="259" w:lineRule="auto"/>
            </w:pPr>
            <w:r>
              <w:rPr>
                <w:rFonts w:ascii="Arial" w:hAnsi="Arial"/>
                <w:color w:val="191818"/>
                <w:sz w:val="18"/>
              </w:rPr>
              <w:t>Avoids two competing proof normalizers and keeps Status read-only.</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8"/>
              </w:rPr>
              <w:t>No customer undo by default</w:t>
            </w:r>
          </w:p>
        </w:tc>
        <w:tc>
          <w:tcPr>
            <w:tcW w:type="dxa" w:w="6060"/>
            <w:tcMar>
              <w:top w:w="80" w:type="dxa"/>
              <w:bottom w:w="80" w:type="dxa"/>
              <w:start w:w="120" w:type="dxa"/>
              <w:end w:w="120" w:type="dxa"/>
            </w:tcMar>
            <w:vAlign w:val="center"/>
          </w:tcPr>
          <w:p>
            <w:pPr>
              <w:spacing w:before="0" w:after="0" w:line="259" w:lineRule="auto"/>
            </w:pPr>
            <w:r>
              <w:rPr>
                <w:rFonts w:ascii="Arial" w:hAnsi="Arial"/>
                <w:color w:val="191818"/>
                <w:sz w:val="18"/>
              </w:rPr>
              <w:t>Reduces risk until Lift/business semantics are explicitly confirmed.</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8"/>
              </w:rPr>
              <w:t>One order per grant</w:t>
            </w:r>
          </w:p>
        </w:tc>
        <w:tc>
          <w:tcPr>
            <w:tcW w:type="dxa" w:w="6060"/>
            <w:tcMar>
              <w:top w:w="80" w:type="dxa"/>
              <w:bottom w:w="80" w:type="dxa"/>
              <w:start w:w="120" w:type="dxa"/>
              <w:end w:w="120" w:type="dxa"/>
            </w:tcMar>
            <w:vAlign w:val="center"/>
          </w:tcPr>
          <w:p>
            <w:pPr>
              <w:spacing w:before="0" w:after="0" w:line="259" w:lineRule="auto"/>
            </w:pPr>
            <w:r>
              <w:rPr>
                <w:rFonts w:ascii="Arial" w:hAnsi="Arial"/>
                <w:color w:val="191818"/>
                <w:sz w:val="18"/>
              </w:rPr>
              <w:t>Simplifies scope, revocation, audit and customer mental model for write-capable access.</w:t>
            </w:r>
          </w:p>
        </w:tc>
      </w:tr>
      <w:tr>
        <w:tc>
          <w:tcPr>
            <w:tcW w:type="dxa" w:w="3300"/>
            <w:tcMar>
              <w:top w:w="80" w:type="dxa"/>
              <w:bottom w:w="80" w:type="dxa"/>
              <w:start w:w="120" w:type="dxa"/>
              <w:end w:w="120" w:type="dxa"/>
            </w:tcMar>
            <w:vAlign w:val="center"/>
          </w:tcPr>
          <w:p>
            <w:pPr>
              <w:spacing w:before="0" w:after="0" w:line="259" w:lineRule="auto"/>
            </w:pPr>
            <w:r>
              <w:rPr>
                <w:rFonts w:ascii="Arial" w:hAnsi="Arial"/>
                <w:color w:val="191818"/>
                <w:sz w:val="18"/>
              </w:rPr>
              <w:t>Light-first UI</w:t>
            </w:r>
          </w:p>
        </w:tc>
        <w:tc>
          <w:tcPr>
            <w:tcW w:type="dxa" w:w="6060"/>
            <w:tcMar>
              <w:top w:w="80" w:type="dxa"/>
              <w:bottom w:w="80" w:type="dxa"/>
              <w:start w:w="120" w:type="dxa"/>
              <w:end w:w="120" w:type="dxa"/>
            </w:tcMar>
            <w:vAlign w:val="center"/>
          </w:tcPr>
          <w:p>
            <w:pPr>
              <w:spacing w:before="0" w:after="0" w:line="259" w:lineRule="auto"/>
            </w:pPr>
            <w:r>
              <w:rPr>
                <w:rFonts w:ascii="Arial" w:hAnsi="Arial"/>
                <w:color w:val="191818"/>
                <w:sz w:val="18"/>
              </w:rPr>
              <w:t>Matches current Vornan public surfaces and avoids proof color-judgment risk; dark mode can follow.</w:t>
            </w:r>
          </w:p>
        </w:tc>
      </w:tr>
    </w:tbl>
    <w:p>
      <w:pPr>
        <w:spacing w:after="60"/>
      </w:pPr>
    </w:p>
    <w:sectPr w:rsidR="00FC693F" w:rsidRPr="0006063C" w:rsidSect="00034616">
      <w:headerReference w:type="default" r:id="rId9"/>
      <w:footerReference w:type="default" r:id="rId10"/>
      <w:pgSz w:w="12240" w:h="15840"/>
      <w:pgMar w:top="1123" w:right="1440" w:bottom="1037"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768070"/>
        <w:sz w:val="17"/>
      </w:rPr>
      <w:t xml:space="preserve">Vornan Confidential  ·  July 19, 2026  ·  </w:t>
    </w:r>
    <w:r>
      <w:rPr>
        <w:rFonts w:ascii="Arial" w:hAnsi="Arial"/>
        <w:color w:val="768070"/>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768070"/>
        <w:sz w:val="17"/>
      </w:rPr>
      <w:t>VORNAN PROOF  /  PATHFINDER ECOSYSTEM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1918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39523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39523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4F5B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ornanBullet">
    <w:name w:val="Vornan Bullet"/>
    <w:basedOn w:val="Normal"/>
    <w:pPr>
      <w:spacing w:after="160" w:line="280" w:lineRule="auto"/>
      <w:numPr>
        <w:ilvl w:val="0"/>
        <w:numId w:val="10"/>
      </w:numPr>
    </w:pPr>
    <w:rPr>
      <w:rFonts w:ascii="Arial" w:hAnsi="Arial"/>
      <w:sz w:val="21"/>
    </w:rPr>
  </w:style>
  <w:style w:type="paragraph" w:customStyle="1" w:styleId="VornanNumber">
    <w:name w:val="Vornan Number"/>
    <w:basedOn w:val="Normal"/>
    <w:pPr>
      <w:spacing w:after="160" w:line="280" w:lineRule="auto"/>
    </w:pPr>
    <w:rPr>
      <w:rFonts w:ascii="Arial" w:hAnsi="Arial"/>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Vornan Proof — Pathfinder Ecosystem Architecture &amp; Implementation Handoff</dc:title>
  <dc:subject>Architecture, Lift integration, security, UI/UX, AWS, rollout and decision questionnaire</dc:subject>
  <dc:creator>Vornan</dc:creator>
  <cp:keywords>Vornan Proof, Pathfinder, Lift ERP, proof approval, architecture</cp:keywords>
  <dc:description>generated by python-docx</dc:description>
  <cp:lastModifiedBy/>
  <cp:revision>1</cp:revision>
  <dcterms:created xsi:type="dcterms:W3CDTF">2013-12-23T23:15:00Z</dcterms:created>
  <dcterms:modified xsi:type="dcterms:W3CDTF">2013-12-23T23:15:00Z</dcterms:modified>
  <cp:category/>
</cp:coreProperties>
</file>