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A6" w:rsidRDefault="004C5CA6" w:rsidP="00C449FF">
      <w:pPr>
        <w:widowControl w:val="0"/>
        <w:tabs>
          <w:tab w:val="left" w:pos="1067"/>
        </w:tabs>
        <w:autoSpaceDE w:val="0"/>
        <w:autoSpaceDN w:val="0"/>
        <w:spacing w:after="0" w:line="352" w:lineRule="exact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1761D" w:rsidRPr="00A512FA" w:rsidRDefault="00A512FA" w:rsidP="00A12D79">
      <w:pPr>
        <w:pStyle w:val="Default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Тема с</w:t>
      </w:r>
      <w:r w:rsidR="0021761D" w:rsidRPr="00A512F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емінар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у:</w:t>
      </w:r>
      <w:r w:rsidR="0021761D" w:rsidRPr="00A512FA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="0021761D" w:rsidRPr="00A512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Філософія Давнього Сходу</w:t>
      </w:r>
      <w:r w:rsidR="00A900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3E647B" w:rsidRPr="0021761D" w:rsidRDefault="0021761D" w:rsidP="00A12D79">
      <w:pPr>
        <w:pStyle w:val="Defaul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>«</w:t>
      </w:r>
      <w:r w:rsidR="00A12D79" w:rsidRPr="0021761D">
        <w:rPr>
          <w:rFonts w:ascii="Times New Roman" w:hAnsi="Times New Roman" w:cs="Times New Roman"/>
          <w:bCs/>
          <w:lang w:val="uk-UA"/>
        </w:rPr>
        <w:t>СВІТ ФІЛОСОФІЇ У ЗАПИТАННЯХ ТА ЗАВДАННЯХ</w:t>
      </w:r>
      <w:r>
        <w:rPr>
          <w:rFonts w:ascii="Times New Roman" w:hAnsi="Times New Roman" w:cs="Times New Roman"/>
          <w:bCs/>
          <w:lang w:val="uk-UA"/>
        </w:rPr>
        <w:t>»</w:t>
      </w:r>
      <w:r w:rsidR="00A12D79" w:rsidRPr="0021761D">
        <w:rPr>
          <w:rFonts w:ascii="Times New Roman" w:hAnsi="Times New Roman" w:cs="Times New Roman"/>
          <w:bCs/>
          <w:lang w:val="uk-UA"/>
        </w:rPr>
        <w:t xml:space="preserve"> НАВЧАЛЬНИЙ ПОСІБНИК</w:t>
      </w:r>
      <w:r w:rsidR="00A12D79" w:rsidRPr="0021761D">
        <w:rPr>
          <w:bCs/>
          <w:sz w:val="23"/>
          <w:szCs w:val="23"/>
          <w:lang w:val="uk-UA"/>
        </w:rPr>
        <w:t xml:space="preserve"> </w:t>
      </w:r>
      <w:r w:rsidR="00844B92">
        <w:rPr>
          <w:rFonts w:ascii="Times New Roman" w:hAnsi="Times New Roman" w:cs="Times New Roman"/>
          <w:lang w:val="uk-UA"/>
        </w:rPr>
        <w:t>стр.40-61</w:t>
      </w:r>
      <w:r w:rsidR="003E647B" w:rsidRPr="0021761D">
        <w:rPr>
          <w:rFonts w:ascii="Times New Roman" w:hAnsi="Times New Roman" w:cs="Times New Roman"/>
          <w:lang w:val="uk-UA"/>
        </w:rPr>
        <w:t xml:space="preserve"> </w:t>
      </w:r>
      <w:r w:rsidR="005973CB" w:rsidRPr="0021761D">
        <w:rPr>
          <w:rFonts w:ascii="Times New Roman" w:hAnsi="Times New Roman" w:cs="Times New Roman"/>
          <w:lang w:val="uk-UA"/>
        </w:rPr>
        <w:t xml:space="preserve">гарна інформація про </w:t>
      </w:r>
      <w:r w:rsidR="007B3C03" w:rsidRPr="0021761D">
        <w:rPr>
          <w:rFonts w:ascii="Times New Roman" w:hAnsi="Times New Roman" w:cs="Times New Roman"/>
          <w:lang w:val="uk-UA"/>
        </w:rPr>
        <w:t xml:space="preserve">напрями та східні </w:t>
      </w:r>
      <w:r w:rsidR="005973CB" w:rsidRPr="0021761D">
        <w:rPr>
          <w:rFonts w:ascii="Times New Roman" w:hAnsi="Times New Roman" w:cs="Times New Roman"/>
          <w:lang w:val="uk-UA"/>
        </w:rPr>
        <w:t>школи.</w:t>
      </w:r>
    </w:p>
    <w:p w:rsidR="00235400" w:rsidRDefault="00235400" w:rsidP="00595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956C2" w:rsidRPr="00A512FA" w:rsidRDefault="005956C2" w:rsidP="005956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512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Питання </w:t>
      </w:r>
      <w:r w:rsidR="00235400" w:rsidRPr="00A512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конспектуєм</w:t>
      </w:r>
      <w:r w:rsidR="00AB3860" w:rsidRPr="00A512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</w:t>
      </w:r>
      <w:r w:rsidR="00A512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:</w:t>
      </w:r>
      <w:r w:rsidR="00235400" w:rsidRPr="00A512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7F78CA" w:rsidRDefault="002779CB" w:rsidP="005956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956C2" w:rsidRPr="0021761D">
        <w:rPr>
          <w:rFonts w:ascii="Times New Roman" w:hAnsi="Times New Roman" w:cs="Times New Roman"/>
          <w:sz w:val="28"/>
          <w:szCs w:val="28"/>
          <w:lang w:val="uk-UA"/>
        </w:rPr>
        <w:t>. Канонічні джерела Стародавнь</w:t>
      </w:r>
      <w:r>
        <w:rPr>
          <w:rFonts w:ascii="Times New Roman" w:hAnsi="Times New Roman" w:cs="Times New Roman"/>
          <w:sz w:val="28"/>
          <w:szCs w:val="28"/>
          <w:lang w:val="uk-UA"/>
        </w:rPr>
        <w:t>ої Індії та їх світоглядні ідеї на прикладі вчення Будди</w:t>
      </w:r>
      <w:r w:rsidR="005956C2" w:rsidRPr="002176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(розглядаємо колесо Бхавачакри)</w:t>
      </w:r>
      <w:r w:rsidR="00AD1F20">
        <w:rPr>
          <w:rFonts w:ascii="Times New Roman" w:hAnsi="Times New Roman" w:cs="Times New Roman"/>
          <w:sz w:val="28"/>
          <w:szCs w:val="28"/>
          <w:lang w:val="uk-UA"/>
        </w:rPr>
        <w:t xml:space="preserve"> Провідні ідеї</w:t>
      </w:r>
      <w:bookmarkStart w:id="0" w:name="_GoBack"/>
      <w:bookmarkEnd w:id="0"/>
      <w:r w:rsidR="00AD1F20">
        <w:rPr>
          <w:rFonts w:ascii="Times New Roman" w:hAnsi="Times New Roman" w:cs="Times New Roman"/>
          <w:sz w:val="28"/>
          <w:szCs w:val="28"/>
          <w:lang w:val="uk-UA"/>
        </w:rPr>
        <w:t xml:space="preserve"> Будизму.</w:t>
      </w:r>
    </w:p>
    <w:p w:rsidR="005956C2" w:rsidRPr="0021761D" w:rsidRDefault="002779CB" w:rsidP="005956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11663">
        <w:rPr>
          <w:rFonts w:ascii="Times New Roman" w:hAnsi="Times New Roman" w:cs="Times New Roman"/>
          <w:sz w:val="28"/>
          <w:szCs w:val="28"/>
          <w:lang w:val="uk-UA"/>
        </w:rPr>
        <w:t>. Духовні</w:t>
      </w:r>
      <w:r w:rsidR="005956C2" w:rsidRPr="0021761D">
        <w:rPr>
          <w:rFonts w:ascii="Times New Roman" w:hAnsi="Times New Roman" w:cs="Times New Roman"/>
          <w:sz w:val="28"/>
          <w:szCs w:val="28"/>
          <w:lang w:val="uk-UA"/>
        </w:rPr>
        <w:t xml:space="preserve"> джерела</w:t>
      </w:r>
      <w:r w:rsidR="00E116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56C2" w:rsidRPr="0021761D">
        <w:rPr>
          <w:rFonts w:ascii="Times New Roman" w:hAnsi="Times New Roman" w:cs="Times New Roman"/>
          <w:sz w:val="28"/>
          <w:szCs w:val="28"/>
          <w:lang w:val="uk-UA"/>
        </w:rPr>
        <w:t>Стародавньог</w:t>
      </w:r>
      <w:r w:rsidR="00E11663">
        <w:rPr>
          <w:rFonts w:ascii="Times New Roman" w:hAnsi="Times New Roman" w:cs="Times New Roman"/>
          <w:sz w:val="28"/>
          <w:szCs w:val="28"/>
          <w:lang w:val="uk-UA"/>
        </w:rPr>
        <w:t>о Китаю та їх світоглядні ідеї на прикладі «П</w:t>
      </w:r>
      <w:r w:rsidR="00E11663" w:rsidRPr="00E1166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11663">
        <w:rPr>
          <w:rFonts w:ascii="Times New Roman" w:hAnsi="Times New Roman" w:cs="Times New Roman"/>
          <w:sz w:val="28"/>
          <w:szCs w:val="28"/>
          <w:lang w:val="uk-UA"/>
        </w:rPr>
        <w:t>ятикнижжя»</w:t>
      </w:r>
    </w:p>
    <w:p w:rsidR="00A512FA" w:rsidRDefault="00A512FA" w:rsidP="005956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956C2" w:rsidRPr="0021761D" w:rsidRDefault="00235400" w:rsidP="005956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761D">
        <w:rPr>
          <w:rFonts w:ascii="Times New Roman" w:hAnsi="Times New Roman" w:cs="Times New Roman"/>
          <w:b/>
          <w:sz w:val="28"/>
          <w:szCs w:val="28"/>
          <w:lang w:val="uk-UA"/>
        </w:rPr>
        <w:t>Теми для доповідей та</w:t>
      </w:r>
      <w:r w:rsidR="005956C2" w:rsidRPr="002176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2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презентацій розподіляймо на власний вибір. </w:t>
      </w:r>
    </w:p>
    <w:p w:rsidR="005956C2" w:rsidRPr="0021761D" w:rsidRDefault="002779CB" w:rsidP="005956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956C2" w:rsidRPr="0021761D">
        <w:rPr>
          <w:rFonts w:ascii="Times New Roman" w:hAnsi="Times New Roman" w:cs="Times New Roman"/>
          <w:sz w:val="28"/>
          <w:szCs w:val="28"/>
          <w:lang w:val="uk-UA"/>
        </w:rPr>
        <w:t>. Філософське вчення Конфуція.</w:t>
      </w:r>
    </w:p>
    <w:p w:rsidR="005956C2" w:rsidRPr="0021761D" w:rsidRDefault="002779CB" w:rsidP="005956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956C2" w:rsidRPr="0021761D">
        <w:rPr>
          <w:rFonts w:ascii="Times New Roman" w:hAnsi="Times New Roman" w:cs="Times New Roman"/>
          <w:sz w:val="28"/>
          <w:szCs w:val="28"/>
          <w:lang w:val="uk-UA"/>
        </w:rPr>
        <w:t>. Філософське вчення Дао-де-цзя.</w:t>
      </w:r>
    </w:p>
    <w:p w:rsidR="005956C2" w:rsidRPr="0021761D" w:rsidRDefault="002779CB" w:rsidP="005956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956C2" w:rsidRPr="0021761D">
        <w:rPr>
          <w:rFonts w:ascii="Times New Roman" w:hAnsi="Times New Roman" w:cs="Times New Roman"/>
          <w:sz w:val="28"/>
          <w:szCs w:val="28"/>
          <w:lang w:val="uk-UA"/>
        </w:rPr>
        <w:t>. Філософське вчення Фа-цзя.</w:t>
      </w:r>
    </w:p>
    <w:p w:rsidR="005956C2" w:rsidRPr="0021761D" w:rsidRDefault="002779CB" w:rsidP="005956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5956C2" w:rsidRPr="0021761D">
        <w:rPr>
          <w:rFonts w:ascii="Times New Roman" w:hAnsi="Times New Roman" w:cs="Times New Roman"/>
          <w:sz w:val="28"/>
          <w:szCs w:val="28"/>
          <w:lang w:val="uk-UA"/>
        </w:rPr>
        <w:t>. Філософське вчення Мо-цзя.</w:t>
      </w:r>
    </w:p>
    <w:p w:rsidR="004C5CA6" w:rsidRDefault="004C5CA6" w:rsidP="00C449FF">
      <w:pPr>
        <w:widowControl w:val="0"/>
        <w:tabs>
          <w:tab w:val="left" w:pos="1067"/>
        </w:tabs>
        <w:autoSpaceDE w:val="0"/>
        <w:autoSpaceDN w:val="0"/>
        <w:spacing w:after="0" w:line="352" w:lineRule="exact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5CA6" w:rsidRDefault="004C5CA6" w:rsidP="00C449FF">
      <w:pPr>
        <w:widowControl w:val="0"/>
        <w:tabs>
          <w:tab w:val="left" w:pos="1067"/>
        </w:tabs>
        <w:autoSpaceDE w:val="0"/>
        <w:autoSpaceDN w:val="0"/>
        <w:spacing w:after="0" w:line="352" w:lineRule="exact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52787" w:rsidRPr="00A512FA" w:rsidRDefault="00C449FF" w:rsidP="00C449FF">
      <w:pPr>
        <w:widowControl w:val="0"/>
        <w:tabs>
          <w:tab w:val="left" w:pos="1067"/>
        </w:tabs>
        <w:autoSpaceDE w:val="0"/>
        <w:autoSpaceDN w:val="0"/>
        <w:spacing w:after="0" w:line="352" w:lineRule="exact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A512F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Тема лекції</w:t>
      </w:r>
      <w:r w:rsidRPr="00A512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: </w:t>
      </w:r>
      <w:r w:rsidR="009D26AD" w:rsidRPr="00A512F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Філософія Давнього</w:t>
      </w:r>
      <w:r w:rsidR="005956C2" w:rsidRPr="00A512F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Сходу:</w:t>
      </w:r>
    </w:p>
    <w:p w:rsidR="00A0261C" w:rsidRPr="00C52787" w:rsidRDefault="00A0261C" w:rsidP="00295A35">
      <w:pPr>
        <w:pStyle w:val="a4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52787">
        <w:rPr>
          <w:rFonts w:ascii="Times New Roman" w:hAnsi="Times New Roman" w:cs="Times New Roman"/>
          <w:i/>
          <w:sz w:val="28"/>
          <w:szCs w:val="28"/>
          <w:lang w:val="uk-UA"/>
        </w:rPr>
        <w:t>Філософія Стародавньої Індії</w:t>
      </w:r>
    </w:p>
    <w:p w:rsidR="00A0261C" w:rsidRPr="00C52787" w:rsidRDefault="00A0261C" w:rsidP="00295A35">
      <w:pPr>
        <w:pStyle w:val="a4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after="0" w:line="240" w:lineRule="auto"/>
        <w:ind w:left="0" w:firstLine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52787">
        <w:rPr>
          <w:rFonts w:ascii="Times New Roman" w:hAnsi="Times New Roman" w:cs="Times New Roman"/>
          <w:i/>
          <w:sz w:val="28"/>
          <w:szCs w:val="28"/>
          <w:lang w:val="uk-UA"/>
        </w:rPr>
        <w:t>Філософія Стародавнього Китаю.</w:t>
      </w:r>
    </w:p>
    <w:p w:rsidR="00BD6E0B" w:rsidRPr="00C52787" w:rsidRDefault="00BD6E0B" w:rsidP="00BD6E0B">
      <w:pPr>
        <w:pStyle w:val="a4"/>
        <w:widowControl w:val="0"/>
        <w:tabs>
          <w:tab w:val="left" w:pos="1067"/>
        </w:tabs>
        <w:autoSpaceDE w:val="0"/>
        <w:autoSpaceDN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CF1CA0" w:rsidRPr="00C52787" w:rsidRDefault="00CF1CA0" w:rsidP="00CF1CA0">
      <w:pPr>
        <w:pStyle w:val="a4"/>
        <w:widowControl w:val="0"/>
        <w:tabs>
          <w:tab w:val="left" w:pos="10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2787">
        <w:rPr>
          <w:rFonts w:ascii="Times New Roman" w:hAnsi="Times New Roman" w:cs="Times New Roman"/>
          <w:sz w:val="28"/>
          <w:szCs w:val="28"/>
          <w:lang w:val="uk-UA"/>
        </w:rPr>
        <w:t>1.Філософія Стародавньої Індії</w:t>
      </w:r>
    </w:p>
    <w:p w:rsidR="00201B37" w:rsidRPr="00201B37" w:rsidRDefault="00CF1CA0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А)</w:t>
      </w:r>
      <w:r w:rsidR="00201B37"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201B37" w:rsidRPr="00201B37">
        <w:rPr>
          <w:rFonts w:ascii="Times New Roman" w:eastAsia="Times New Roman" w:hAnsi="Times New Roman" w:cs="Times New Roman"/>
          <w:i/>
          <w:sz w:val="24"/>
          <w:szCs w:val="24"/>
          <w:u w:val="single"/>
          <w:lang w:val="uk-UA" w:eastAsia="ru-RU"/>
        </w:rPr>
        <w:t>Канонічні джерела, провідні ідеї та напрями філософської думки Стародавньої Індії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Вже у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тис. до н. е.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території Індії склались дрібні державні утворення. Староіндійське суспільство мало кастовий характер. Світоглядом цього суспільства була міфологія, викладена у „Ведах” – збірниках міфів.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Зародки філософського мислення Індії сягають у глибоку давнину (сер. І тис. до н. е.). Проте, варто звернути увагу на такий факт: давньосхідна та давньогрецька філософії виникають практично одночасно, але існує давня традиція починати історію філософії саме зі Сходу. Чим це можна пояснити?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По-перше, тим, що східна філософія була значно тісніше переплетена із іншими сферами життя та духовної діяльності суспільства – із міфологією, релігією, магією, певними традиціями та обрядами; звертаючись до перших кроків давньосхідної філософської думки, ми знаходимо її у процесі формування, що дозволяє краще зрозуміти природу філософської рефлексії.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По-друге, філософська думка Стародавнього Сходу спиралась, як вже вказувалося, на деякі попередні традиційні тексти та канонічні духовні джерела, і в цьому сенсі вона сягала своїм корінням значно далі, ніж антична. Тобто, тут ми маємо можливість „зазирнути” у досить віддалені глибини людської ментальності, побачити якісь первинні зародки людської раціональності.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Відомо, що найдавнішими цивілізаціями, дослідженими сьогодні наукою, були Шумер та Стародавній Єгипет; знайомство з їх духовною спадщиною дозволяє стверджувати, що саме тут вже були присутні деякі найперші філософеми, тобто зародки майбутніх філософських ідей та концепцій. Зокрема, в Шумері вже існувала перша відома нам універсальна класифікація світових стихій (небо, гроза, вода, земля), у відповідність яким були поставлені боги, властивості людини та характеристики держави. Окрім того, знаменитий епос про шумерського царя </w:t>
      </w: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Гільгамеша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чи не вперше з надзвичайною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гостротою та емоційністю змальовує почуття людини, яка раптом просякнулася думкою про неминучість смерті.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Стародавньому Єгипті важливу роль відігравав міф про Осиріса – бога, що вмирав та воскресав, а також існували уявлення про неодномірність людського єства. Проте, як вже було сказано, це були лише перші паростки філософської думки. Значно далі вона пішла в Стародавній Індії та Стародавньому Китаї.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Канонічним духовним джерелом Стародавньої Індії є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„</w:t>
      </w: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Веди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” (із їх назвою споріднено наше слово „відати”, „знати”), записані на листях пальми приблизно за 1,5 тис. років до н. е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„Вед” входять міфи, розповіді про предків, богів, гімни, заклинання тощо. Сюди входять також і певні тлумачення давніх світоглядних уявлень. З філософського погляду найцікавішими є тексти під назвою „</w:t>
      </w: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Упанішади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” (від слова „сидіти поруч”; мається на увазі – поруч з учителем, тобто це тексти-пояснення таємних знань, що містяться в основних текстах „Вед” – самхітах).</w:t>
      </w:r>
    </w:p>
    <w:p w:rsidR="00201B37" w:rsidRPr="00201B37" w:rsidRDefault="00201B37" w:rsidP="00201B37">
      <w:pPr>
        <w:widowControl w:val="0"/>
        <w:shd w:val="clear" w:color="auto" w:fill="FFFFFF"/>
        <w:tabs>
          <w:tab w:val="left" w:pos="1516"/>
          <w:tab w:val="left" w:pos="2714"/>
          <w:tab w:val="left" w:pos="3845"/>
        </w:tabs>
        <w:autoSpaceDE w:val="0"/>
        <w:autoSpaceDN w:val="0"/>
        <w:adjustRightInd w:val="0"/>
        <w:spacing w:after="0" w:line="240" w:lineRule="auto"/>
        <w:ind w:right="-57"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Упанішади містять:</w:t>
      </w:r>
    </w:p>
    <w:p w:rsidR="00201B37" w:rsidRPr="00201B37" w:rsidRDefault="00201B37" w:rsidP="00201B37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найдавніші версії виникнення світу, серед яких важливе значення мали: виникнення світу із яйця (ідея про самозародження всього, осмисленого в якості живого); виникнення світу внаслідок глибокого самозосередження (тапасу) первинного духу; виникнення світу внаслідок жертвопринесення (ідея, згідно якої народження та смерть невід’ємні одне від одного);</w:t>
      </w:r>
    </w:p>
    <w:p w:rsidR="00201B37" w:rsidRPr="00201B37" w:rsidRDefault="00201B37" w:rsidP="00201B37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трактування першооснови буття як універсального абстрактного принципу (Брахман), який ототожнюється з індивідуальною духовною сутністю людини, з її душею (атман);</w:t>
      </w:r>
    </w:p>
    <w:p w:rsidR="00201B37" w:rsidRPr="00201B37" w:rsidRDefault="00201B37" w:rsidP="00201B37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певне бачення життєвої долі людини: концепція безмежного кола перевтілень душі (сансара і закон карми);</w:t>
      </w:r>
    </w:p>
    <w:p w:rsidR="00201B37" w:rsidRPr="00201B37" w:rsidRDefault="00201B37" w:rsidP="00201B37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-57"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позитивну оцінку ролі пізнання як самозосередження на первинних сутностях світу (необхідність усвідомлення єдності Брахмана й атмана як умови „звільнення” від безмежного кола перевтілень);</w:t>
      </w:r>
    </w:p>
    <w:p w:rsidR="00201B37" w:rsidRPr="00201B37" w:rsidRDefault="00201B37" w:rsidP="00201B37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-57"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думку про можливості та умови здійснення людської свободи, яка здатна подолати космічний закон карми;</w:t>
      </w:r>
    </w:p>
    <w:p w:rsidR="00201B37" w:rsidRPr="00201B37" w:rsidRDefault="00201B37" w:rsidP="00201B37">
      <w:pPr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-57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міркування про співвідношення дії, активності людини і свободи.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Таким чином, вже у найдавніших духовних джерелах Стародавньої Індії йдеться про фундаментальні моральні ідеї, про певне осмислення становища людини у світі, про різні шляхи звільнення від кармінних законів долі, найкращим з яких є шлях дійового самовдосконалення. В цілому тут роздуми про людину превалюють над роздумами про зовнішній світ, а людське „Я” стає ключем до пояснення природи. Виникненню філософських шкіл Стародавньої Індії передували впливові духовні рухи, які містили певні філософсько-світоглядні ідеї і були спрямовані на одне: на звільнення людини від нескінченних перевтілень-блукань душі і досягнення нею стану „мокші” – повного блаженства. До таких рухів належали джайнізм, йога та буддизм.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Джайнізм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(від слова „джіна” – переможець) закликав людину підпорядкувати своє життя суворим аскетичним регламентаціям. Якщо людина здатна це витримати та ще й не заподіяти шкоди жодній істоті, вона ставала переможцем карми.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Йога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також: ставила перед людиною подібну мету, але шляхом її досягнення вважала впорядкування (це один із перекладів слова „йога”), гармонізацію фізичного, психічного та духовного станів людини. Відомо, що в цій справі йоги досягали і досягають вражаючих результатів. Значним досягненням йоги (засновник – Патанджалі) була спроба дослідити людину як систему („мікрокосмос”), що складається з чотирьох підсистем: „мінерало-людини”, „рослино-людини”, „тварино-людини” і „людино-людини”, ідея про синтез їх у вищій підсистемі – „людино-людині”. Це була одна з перших спроб філософського обґрунтування розуміння людини як саморухливої та самоорганізованої системи.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Але найважливішим з погляду розвитку філософської думки постає </w:t>
      </w: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буддизм.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переказами, його засновником був принц Гаутама Сіддхартха з роду Шаків (563-483 рр. до н. е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.).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Життя Гаутами настільки оповите легендами, що про нього майже немає реальних відомостей. Більш-менш достовірним є те, що захищений з дитинства від життєвих прикрощів та негараздів, він був вражений випадково побаченими фактами людського старіння і смерті. Пройшовши через сповідування різних етичних учень, Гаутама врешті-решт сів під сандаловим деревом, давши собі слово не зрушити з місця доти, доки не знайде відповіді на основні питання життя. Тут на нього найшло просвітлення, і він став Буддою (просвітленим, знаючим), проголосивши учням чотири основні („діамантові”) істини.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Людина, яка здатна пройти вказаним шляхом, стає Буддою і досягає стану „</w:t>
      </w: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нірвани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” – повного припинення будь-яких хвилювань та розчинення у невимовній початковій тиші світу.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Основні істини, проголошені Гаутамою Сіддхартхою</w:t>
      </w:r>
    </w:p>
    <w:p w:rsidR="00201B37" w:rsidRPr="00201B37" w:rsidRDefault="00201B37" w:rsidP="00201B37">
      <w:pPr>
        <w:widowControl w:val="0"/>
        <w:numPr>
          <w:ilvl w:val="0"/>
          <w:numId w:val="9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0"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життя – це страждання (народження, хвороба, старість іт.д.);</w:t>
      </w:r>
    </w:p>
    <w:p w:rsidR="00201B37" w:rsidRPr="00201B37" w:rsidRDefault="00201B37" w:rsidP="00201B37">
      <w:pPr>
        <w:widowControl w:val="0"/>
        <w:numPr>
          <w:ilvl w:val="0"/>
          <w:numId w:val="9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0"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причиною страждань є бажання і жага життя;</w:t>
      </w:r>
    </w:p>
    <w:p w:rsidR="00201B37" w:rsidRPr="00201B37" w:rsidRDefault="00201B37" w:rsidP="00201B37">
      <w:pPr>
        <w:widowControl w:val="0"/>
        <w:numPr>
          <w:ilvl w:val="0"/>
          <w:numId w:val="9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0"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припинення страждань можливе лише шляхом подолання жаги життя;</w:t>
      </w:r>
    </w:p>
    <w:p w:rsidR="00201B37" w:rsidRPr="00201B37" w:rsidRDefault="00201B37" w:rsidP="00201B37">
      <w:pPr>
        <w:widowControl w:val="0"/>
        <w:numPr>
          <w:ilvl w:val="0"/>
          <w:numId w:val="9"/>
        </w:numPr>
        <w:shd w:val="clear" w:color="auto" w:fill="FFFFFF"/>
        <w:tabs>
          <w:tab w:val="num" w:pos="567"/>
        </w:tabs>
        <w:autoSpaceDE w:val="0"/>
        <w:autoSpaceDN w:val="0"/>
        <w:adjustRightInd w:val="0"/>
        <w:spacing w:after="0" w:line="240" w:lineRule="auto"/>
        <w:ind w:left="0"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шлях до позбавлення страждань є восьмиразовим (правильне судження, правильне рішення, правильна мова, правильне устремління, правильне життя, правильна увага, правильне зосередження, правильний шлях в житті).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Буддизм створив оригінальне трактування світобудови. Реальність, доступна чуттєвому спогляданню, є несправжньою, ілюзорною. Насправді існують лише енергетичні „крапки”, згущення під назвою „дхарми”. Вони перебувають у збудженому, динамічному стані і тому вступають між собою в з’єднання та переплетення. Уся навколишня реальність, як і людина, постає певними вузликами енергетичних зв’язків дхарм. Людина може свідомими зусиллями розв’язати їх сплетіння і випустити дхарми у вільний стан. Це і буде нірвана. Іноді нірвану описують так: у суцільній темряві на поверхні океану плаває лампа з вогником, що ледве освітлює невеличку частину простору. Олія у лампі поступово вигоряє, і вогник згасає. Коли він згасне остаточно, ніхто не зможе сказати де небо, де вода, а де лампа. Все розчиниться у всьому.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Серед філософських шкіл Стародавньої Індії провідне місце належало школі </w:t>
      </w: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санкх’я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(обчислення, точне знання), засновником якої вважають Капілу (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VII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ст. до н. е.). На першому плані в судженнях школи – питання про вихідні сутності світу, з яких складається світобудова та на які повинна орієнтуватися людина у своїх діях. Таких сутностей дві:</w:t>
      </w:r>
    </w:p>
    <w:p w:rsidR="00201B37" w:rsidRPr="00201B37" w:rsidRDefault="00201B37" w:rsidP="00201B37">
      <w:pPr>
        <w:widowControl w:val="0"/>
        <w:numPr>
          <w:ilvl w:val="0"/>
          <w:numId w:val="10"/>
        </w:numPr>
        <w:shd w:val="clear" w:color="auto" w:fill="FFFFFF"/>
        <w:tabs>
          <w:tab w:val="left" w:pos="191"/>
        </w:tabs>
        <w:autoSpaceDE w:val="0"/>
        <w:autoSpaceDN w:val="0"/>
        <w:adjustRightInd w:val="0"/>
        <w:spacing w:after="0" w:line="240" w:lineRule="auto"/>
        <w:ind w:left="0" w:right="-57"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„пракріті”, або „прадхана” (природа);</w:t>
      </w:r>
    </w:p>
    <w:p w:rsidR="00201B37" w:rsidRPr="00201B37" w:rsidRDefault="00201B37" w:rsidP="00201B37">
      <w:pPr>
        <w:widowControl w:val="0"/>
        <w:numPr>
          <w:ilvl w:val="0"/>
          <w:numId w:val="10"/>
        </w:numPr>
        <w:shd w:val="clear" w:color="auto" w:fill="FFFFFF"/>
        <w:tabs>
          <w:tab w:val="left" w:pos="191"/>
        </w:tabs>
        <w:autoSpaceDE w:val="0"/>
        <w:autoSpaceDN w:val="0"/>
        <w:adjustRightInd w:val="0"/>
        <w:spacing w:after="0" w:line="240" w:lineRule="auto"/>
        <w:ind w:left="0" w:right="-57"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 „пуруша” (свідомість, споглядання).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Обидві ці сутності вічні, але породжують світ лише у взаємодії, оскільки ніби складають разом свої можливості і переваги. Зв’язок між „пракріті” та „пурушею” нагадує союз сліпого та кульгавого: „перший переносив на спині другого, а той вказував йому дорогу. Так само пуруша (чиста душа) не здатний діяти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сам по собі, а нібито втягується в активність матерії (пракріті), залишаючись насправді зовсім не порушеним нею”. Зв’язок пракріті та пуруші призводить до виявлення їх якостей: маси (тамас), енергії (раджас) та прояснення (саттва). Останні породжують п’ять світових стихій (або елементів): вогонь, повітря, воду, землю та ефір. Але в союзі пракріті та пуруші останній виявляється могутнішим. Проявляючись у людському „Я”, пуруша спрямовує його до самозаглиблення та подолання карми.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Школу </w:t>
      </w: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чарвака-локаята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(засновник Бріхаспаті,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VII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ст. до н. е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відносять до натуралістичних: її прихильники вважають, що „не існує ні бога, ні визволення (від карми), ні дхарми, ні недхарми, а також: немає винагороди за благочинне життя...” Представники школи визнавали існування лише того, що можна сприйняти чуттям („лока”), а все існуюче вважали лише поєднанням чотирьох елементів: землі, води, повітря та вогню. Поєднанням зазначених елементів вони пояснювали людину з її якостями, навіть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– людську душу: „...як від змішування частин напоїв виникає сила сп яніння, так із поєднанням землі та інших елементів виникають тіло і „Я” (атмата)”. Зі смертю людини елементи роз’єднуються і зникає те, що називають душею.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Отже, потойбічного світу і життя не існує. Слід насолоджуватись єдиним – земним життям. Але найбільшою насолодою деякі представники „черваки-локаяти” вважали вміння уникати страждань.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Питання логіки та пізнання перебували в центрі уваги школи </w:t>
      </w: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ньяя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(засновник Готама,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III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ст. до н. е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.).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Тут докладно розглядали основи та засоби пізнання, форми умовиводів, ознаки достовірності знань та ін. Засоби пізнання поділяли на чотири види: сприйняття, виведення, аналогія та усне свідчення.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Деякі твердження школи </w:t>
      </w: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вайшешіка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(засновник Канада,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ст. до н. е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дають підстави вважати її школою своєрідного атомізму: „...щодо особливостей: воістину вони – одиничні, і визначаються як те, що лежить в основі субстанцій”.</w:t>
      </w:r>
    </w:p>
    <w:p w:rsid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Отже, філософські школи та духовні рухи Стародавньої Індії мали в колі своїх міркувань найважливіші світоглядні проблеми: початок буття, будова світу, особливості людини, роль і зміст людського пізнання. Водночас досить очевидно, що превалює у цій проблематиці пошук шляхів людського звільнення від невблаганних імперативів життя, хоча звільнення це розуміли значною мірою як подолання людської окремішності та індивідуального протистояння загальному.</w:t>
      </w:r>
    </w:p>
    <w:p w:rsidR="00C52787" w:rsidRPr="00201B37" w:rsidRDefault="00C5278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F1CA0" w:rsidRPr="00C52787" w:rsidRDefault="00CF1CA0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52787">
        <w:rPr>
          <w:rFonts w:ascii="Times New Roman" w:hAnsi="Times New Roman" w:cs="Times New Roman"/>
          <w:sz w:val="28"/>
          <w:szCs w:val="28"/>
          <w:lang w:val="uk-UA"/>
        </w:rPr>
        <w:t>2 Філософія Стародавнього Китаю.</w:t>
      </w:r>
    </w:p>
    <w:p w:rsidR="00201B37" w:rsidRPr="006C3B43" w:rsidRDefault="00CF1CA0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uk-UA" w:eastAsia="ru-RU"/>
        </w:rPr>
      </w:pPr>
      <w:r w:rsidRPr="00CF1CA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Б)</w:t>
      </w:r>
      <w:r w:rsidR="00201B37"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="00201B37"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="00201B37" w:rsidRPr="00201B37">
        <w:rPr>
          <w:rFonts w:ascii="Times New Roman" w:eastAsia="Times New Roman" w:hAnsi="Times New Roman" w:cs="Times New Roman"/>
          <w:i/>
          <w:sz w:val="24"/>
          <w:szCs w:val="24"/>
          <w:u w:val="single"/>
          <w:lang w:val="uk-UA" w:eastAsia="ru-RU"/>
        </w:rPr>
        <w:t>Канонічні джерела, провідні ідеї та напрями філософії Стародавнього Китаю.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Духовним каноном життя Стародавнього Китаю є так зване „П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ятикнижжя”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(„У-цзінь”).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„П’ятикнижжі” в образно-міфологічній формі подано найфундаментальніші складники давньокитайського світобачення. В одній із версій, що мала важливе значення для китайської культури, світ утворив першопредок Пань-Гу, який, розколовши первинне яйце, відділив Небо від Землі. На Небі запанували ідеальні закони буття, на Землі навпаки – панують стихійність і випадковість. Китайська держава – це „Серединне царство”, тобто людина і держава поєднують у собі властивості як Неба, так і Землі. Тому перед людиною відкривається можливість вибору між двома відмінними типами поведінки.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Все на світі є результатом взаємодії двох протилежних початків буття – Інь і Янь. Інь уособлює темний, вологий, пасивний (жіночий) початок буття, а Янь – світлий, сухий, активний (чоловічий). Внаслідок взаємодії Інь та Янь утворюють 5 світових стихій: вогонь, воду,  землю, дерево та метал. Може здатися, що перелік названих стихій не відповідає єдиному вихідному принципові їх виділення, але в такому разі засоби людської дії – дерево та метал – вписано у світові процеси, а це означає, що людину розглядають як органічну частину Космосу.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Давньокитайська філософія порівняно з давньоіндійською виглядає стрункішою, деталізованішою (аж до нумерології та побудови вичерпних систем комбінаторики подвійних символічних елементів світобудови) та більше зануреною у глибину суперечливого, парадоксального мислення.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Серед усіх філософських шкіл Стародавнього Китаю (а таких давні джерела налічували до ста, хоча конкретно називали лише шість) найважливішими були дві, до розгляду ідей яких ми і звернемося.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Конфуціанство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заснував Кон-Фу-цзи, або Конфуцій (551-479 рр. до н. е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.).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Це була школа соціально-етичного спрямування, тобто на першому плані тут – проблеми людських стосунків та норм людської поведінки. Конфуцієві приписують визначення людини як істоти, яка у своїх діях керується внутрішніми мотивами. Водночас вирішальну роль у людському житті відіграє закон (або повеління) Неба. Людина повинна навчитися сприймати й розуміти цей закон і вибудовувати свою поведінку відповідно до волі Неба. Якщо людина спроможна це робити, вона постає як „шляхетна” – цзюнь-цзи, тобто така, у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душі якої діє доброчинність („де”): „Небо породило в мені де”.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Отже, шляхетна людина у своїх діях внутрішніми чинниками має певні життєві принципи, серед яких обов’язковими є: „жень” – людинолюбство; „сяо” – повага до батьків (старших); „лі” – виконання ритуалів. Виконання ритуалів передбачало дотримування обов’язкових норм та правил спілкування як між окремими людьми, так і в межах суспільних відносин.</w:t>
      </w:r>
    </w:p>
    <w:p w:rsidR="00201B37" w:rsidRPr="00201B37" w:rsidRDefault="005956C2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Шл</w:t>
      </w:r>
      <w:r w:rsidR="00201B37"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яхетній людині протистоїть низька людина, яка не має внутрішніх переконань, а діє під впливом юрби або безпосередніх життєвих потреб: „Шляхетний муж: дбає про обов’язок, а низька людина – про зиск”. На запитання, чи можна одним лише реченням виразити правило, якого треба дотримуватися усе життя, – учитель відповів: „Людино! Чого не бажаєш собі, того не роби й іншому”.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Велику увагу Конфуцій приділяв проблемам суспільного та державного життя. Держава і сім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 в аспекті взаємин між людьми були для нього неподільні. А вихідним принципом організації суспільного життя він вважав шанування традицій: „Той, хто повторює старе і довідується про нове, може бути проводирем”. І про себе він казав: „Я наслідую старовину, а не вигадую, вірю у старовину та полюбляю її”. Найпершою умовою щасливого життя у державі Конфуцій вважав дотримання принципу „виправлення імен”: „Правитель завжди буде правителем, слуга – слугою, батько – батьком, а син – сином”. Сьогодні ми могли б передати цей принцип висловом: кожен повинен займатися тією справою, для якої його призначила суспільна роль. Порушення цього принципу, за Конфуцієм, веде до безладдя.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VII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ст. до н.е. вчення Конфуція було канонізоване й донині відіграє важливу роль у духовній культурі Китаю.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Іншу важливу школу Стародавнього Китаю заснував Лао-Цзи 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ст. до н. е</w:t>
      </w:r>
      <w:r w:rsidRPr="0020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 майже легендарна особа, бо про нього немає достовірних відомостей. У цій школі на першому плані стояли ідеї світобудови; людину з її діями виведено з космічних законів. Вихідне поняття школи „дао” (звідси і назва школи) не має однозначного визначення. У трактаті „Дао-де-дзин” його пояснено так: „Дао, яке можна виразити словами, не є стале дао, ім’я, яке можна назвати, не є стале ім’я. Лише те, що не має імені, може бути початком неба і землі... Дао породжує єдине. Єдине породжує два початки: інь і янь. Двоє породжують третє. Третє породжує усе, що існує...”.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Звичайно ці рядки коментують так: під „дао” розуміється єдиний і універсальний початок буття. Якщо це так, то саме „дао” не може мати ніякого визначення, адже визначення є лише там, де є межа і відмінність. Якщо є межа, то „дао” буде обмеженим і не зможе породжувати все без винятку; якщо є відмінність, то „дао” буде змінним і втратить якість універсального єдиного. Тому „перше дао” є єдність інь та янь. Інь та янь – два протилежні початки всього, що існує. Інь уособлює собою страждальне, пасивне, вологе, темне – загалом жіноче начало. Янь, відповідно, – активне, ділове, сухе, світле, тобто чоловіче начало. Їх об'єднання дає частину „ці” – щось на зразок атома. Якщо в ній переважає інь, вона зветься інь-ці, якщо янь – янь-ці. Взаємодія інь-ці та янь-ці утворює уже згадані п’ять стихій: вогонь, воду, землю, дерево та метал. Названі елементи, або стихії, утворюють усе існуюче.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Але на цьому визначення „</w:t>
      </w:r>
      <w:r w:rsidRPr="00201B3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дао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” не закінчено. Його тлумачать також: як універсальний закон світобудови, як людську долю і, нарешті, як закон правильного мислення (або правильної свідомості). Тобто „дао” пронизує собою все, що існує, знаходячи, врешті, своє виявлення у правильному спрямуванні думки. Тому саме слово „дао” передається ієрогліфом, що поєднує шлях та голову людини.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Конкретні виявлення „дао” в речах та процесах позначають як „де”, яке, як уже згадано, у людській поведінці постає у вигляді доброчесності. Життєве завдання людини-осягнути „дао” (своє і космічне) і йти за ним. Із вихідного розуміння „дао” випливає також даоський принцип недіяння як першої якості мудреця: „Не виходячи за браму, можна знати про справи Піднебесної. Не виходячи з вікна, можна бачити природне дао. Чим далі йдеш, тим менше пізнаєш. Тому велемудрий (мудрець) не шукає знань, але пізнає усе; не </w:t>
      </w: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виставляє себе на оглядання, але всім відомий; не діє, але досягає успіху”.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державних справах Лао-цзи також віддавав перевагу зменшенню активності. Він вважав, що маленькі держави з нечисленним та недійовим населенням житимуть стабільним, урівноваженим життям. Просвітництво та виконання ритуалів Лао-цзи вважав ознаками розбрату, незадоволення і занепаду держав. Звідси випливає мотив протистояння даосизму та конфуціанства в культурній історії Китаю. Але ці великі школи радше розвивали свої ідеї як взаємовпливами, так і своїми дискусіями.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Крім конфуціанства і даосизму у філософії Китаю існували й інші течії – моїсти, легісти (законники), натурфілософи та ін. Вони значно відрізнялись у поглядах на суспільство і суспільні відносини, але поняття дао, жень, лі, протилежні часточки ян та інь посідають значне місце і в цих вченнях.</w:t>
      </w:r>
    </w:p>
    <w:p w:rsidR="00201B37" w:rsidRPr="00201B37" w:rsidRDefault="00201B37" w:rsidP="00201B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Всі інші філософські школи Стародавнього Китаю у своєму змісті так чи інакше відбивали ідеї і світоглядну спрямованість даосизму та конфуціанства.</w:t>
      </w:r>
    </w:p>
    <w:p w:rsidR="006A6580" w:rsidRDefault="00201B37" w:rsidP="006A65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1B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Отже, давньокитайська філософія розробила цілу низку впливових філософських ідей та запровадила у пізнання та мислення важливі філософські поняття; в цілому вони дозволяли осмислювати людину в її єдності із засадами та універсальними законами світу, а також орієнтували людину в сфері суспільно-політичного життя.</w:t>
      </w:r>
    </w:p>
    <w:p w:rsidR="00B476D2" w:rsidRPr="002B5482" w:rsidRDefault="00B476D2" w:rsidP="00B476D2">
      <w:pPr>
        <w:pStyle w:val="a4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2B5482">
        <w:rPr>
          <w:rFonts w:ascii="Times New Roman" w:hAnsi="Times New Roman" w:cs="Times New Roman"/>
          <w:b/>
          <w:sz w:val="24"/>
          <w:szCs w:val="24"/>
          <w:lang w:val="uk-UA"/>
        </w:rPr>
        <w:t>Рекомендована література</w:t>
      </w:r>
    </w:p>
    <w:p w:rsidR="00B476D2" w:rsidRPr="002B5482" w:rsidRDefault="00B476D2" w:rsidP="00B476D2">
      <w:pPr>
        <w:pStyle w:val="a4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2B5482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2B5482">
        <w:rPr>
          <w:rFonts w:ascii="Times New Roman" w:hAnsi="Times New Roman" w:cs="Times New Roman"/>
          <w:sz w:val="24"/>
          <w:szCs w:val="24"/>
        </w:rPr>
        <w:t xml:space="preserve">Бібліотека ім. В.Вернадського [Електронний ресурс]. – Режим доступу: http://www.nbuv.gov.ua. </w:t>
      </w:r>
    </w:p>
    <w:p w:rsidR="00B476D2" w:rsidRPr="002B5482" w:rsidRDefault="00B476D2" w:rsidP="00B476D2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2B5482">
        <w:rPr>
          <w:rFonts w:ascii="Times New Roman" w:hAnsi="Times New Roman" w:cs="Times New Roman"/>
          <w:sz w:val="24"/>
          <w:szCs w:val="24"/>
        </w:rPr>
        <w:t xml:space="preserve">2. Електронна бібліотека з філософії [Електронний ресурс]. – </w:t>
      </w:r>
      <w:hyperlink r:id="rId9" w:history="1">
        <w:r w:rsidRPr="002B5482">
          <w:rPr>
            <w:rStyle w:val="a7"/>
            <w:rFonts w:ascii="Times New Roman" w:hAnsi="Times New Roman" w:cs="Times New Roman"/>
            <w:sz w:val="24"/>
            <w:szCs w:val="24"/>
          </w:rPr>
          <w:t>http://platonanet.org.ua/load/knigipo_filosofii/</w:t>
        </w:r>
      </w:hyperlink>
      <w:r w:rsidRPr="002B5482">
        <w:rPr>
          <w:rFonts w:ascii="Times New Roman" w:hAnsi="Times New Roman" w:cs="Times New Roman"/>
          <w:sz w:val="24"/>
          <w:szCs w:val="24"/>
        </w:rPr>
        <w:t>.</w:t>
      </w:r>
    </w:p>
    <w:p w:rsidR="00B476D2" w:rsidRPr="002B5482" w:rsidRDefault="00B476D2" w:rsidP="00B476D2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B5482">
        <w:rPr>
          <w:rFonts w:ascii="Times New Roman" w:hAnsi="Times New Roman" w:cs="Times New Roman"/>
          <w:sz w:val="24"/>
          <w:szCs w:val="24"/>
        </w:rPr>
        <w:t xml:space="preserve">. Електронна бібліотека [Електронний ресурс]. – </w:t>
      </w:r>
      <w:hyperlink r:id="rId10" w:history="1">
        <w:r w:rsidRPr="002B5482">
          <w:rPr>
            <w:rStyle w:val="a7"/>
            <w:rFonts w:ascii="Times New Roman" w:hAnsi="Times New Roman" w:cs="Times New Roman"/>
            <w:sz w:val="24"/>
            <w:szCs w:val="24"/>
          </w:rPr>
          <w:t>http://www.philsci.univ.kiev.ua/biblio/</w:t>
        </w:r>
      </w:hyperlink>
      <w:r w:rsidRPr="002B54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76D2" w:rsidRPr="002B5482" w:rsidRDefault="00B476D2" w:rsidP="00B476D2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2B5482">
        <w:rPr>
          <w:rFonts w:ascii="Times New Roman" w:hAnsi="Times New Roman" w:cs="Times New Roman"/>
          <w:sz w:val="24"/>
          <w:szCs w:val="24"/>
        </w:rPr>
        <w:t xml:space="preserve">4. Електронні посібники з філософії [Електронний ресурс]. – </w:t>
      </w:r>
      <w:hyperlink r:id="rId11" w:history="1">
        <w:r w:rsidRPr="002B5482">
          <w:rPr>
            <w:rStyle w:val="a7"/>
            <w:rFonts w:ascii="Times New Roman" w:hAnsi="Times New Roman" w:cs="Times New Roman"/>
            <w:sz w:val="24"/>
            <w:szCs w:val="24"/>
          </w:rPr>
          <w:t>http://pidruchniki.ws/filosofiya/</w:t>
        </w:r>
      </w:hyperlink>
      <w:r w:rsidRPr="002B5482">
        <w:rPr>
          <w:rFonts w:ascii="Times New Roman" w:hAnsi="Times New Roman" w:cs="Times New Roman"/>
          <w:sz w:val="24"/>
          <w:szCs w:val="24"/>
        </w:rPr>
        <w:t>.</w:t>
      </w:r>
    </w:p>
    <w:p w:rsidR="00B476D2" w:rsidRDefault="00B476D2" w:rsidP="00B476D2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</w:t>
      </w:r>
      <w:r w:rsidRPr="002B5482">
        <w:rPr>
          <w:rFonts w:ascii="Times New Roman" w:hAnsi="Times New Roman" w:cs="Times New Roman"/>
          <w:sz w:val="24"/>
          <w:szCs w:val="24"/>
        </w:rPr>
        <w:t xml:space="preserve">Западнаяфилософия от истоков до наших дней: от Возрождения до Канта / Антисери Д., Реале Дж. [Електронний ресурс]. – Режим доступу: http://www.gumer.info/bogoslov_Buks/Philos/Reale_ZapFil/Revival/Index.php. </w:t>
      </w:r>
    </w:p>
    <w:p w:rsidR="00B476D2" w:rsidRDefault="00B476D2" w:rsidP="00B476D2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2B5482">
        <w:rPr>
          <w:rFonts w:ascii="Times New Roman" w:hAnsi="Times New Roman" w:cs="Times New Roman"/>
          <w:sz w:val="24"/>
          <w:szCs w:val="24"/>
        </w:rPr>
        <w:t xml:space="preserve">. Інститут філософії ім. Г.Сковороди [Електронний ресурс]. – Режим доступу : http://www.filosof.com.ua. </w:t>
      </w:r>
    </w:p>
    <w:p w:rsidR="00B476D2" w:rsidRDefault="00B476D2" w:rsidP="00B476D2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2B5482">
        <w:rPr>
          <w:rFonts w:ascii="Times New Roman" w:hAnsi="Times New Roman" w:cs="Times New Roman"/>
          <w:sz w:val="24"/>
          <w:szCs w:val="24"/>
        </w:rPr>
        <w:t xml:space="preserve">. Найвидатніші філософи світу та України [Електронний ресурс]. – Режим доступу: http://philsci.univ.kiev.ua/biblio/dict.html. </w:t>
      </w:r>
    </w:p>
    <w:p w:rsidR="00B476D2" w:rsidRDefault="00B476D2" w:rsidP="00B476D2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8</w:t>
      </w:r>
      <w:r w:rsidRPr="002B5482">
        <w:rPr>
          <w:rFonts w:ascii="Times New Roman" w:hAnsi="Times New Roman" w:cs="Times New Roman"/>
          <w:sz w:val="24"/>
          <w:szCs w:val="24"/>
        </w:rPr>
        <w:t xml:space="preserve">. Найвидатніші філософи світу та України [Електронний ресурс]. – Режим доступу: http://philsci.univ.kiev.ua/biblio/dict.html. </w:t>
      </w:r>
    </w:p>
    <w:p w:rsidR="00B476D2" w:rsidRDefault="00B476D2" w:rsidP="00B476D2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2B5482">
        <w:rPr>
          <w:rFonts w:ascii="Times New Roman" w:hAnsi="Times New Roman" w:cs="Times New Roman"/>
          <w:sz w:val="24"/>
          <w:szCs w:val="24"/>
        </w:rPr>
        <w:t xml:space="preserve">. Стретерн П. Философы за 90 минут [Электронный ресурс]. – Режим доступа: http://psylib.org.ua/books/stret01/index.htm. </w:t>
      </w:r>
    </w:p>
    <w:p w:rsidR="006A6580" w:rsidRPr="00B476D2" w:rsidRDefault="006A6580" w:rsidP="006A65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A6580" w:rsidRPr="00B476D2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695" w:rsidRDefault="00A21695">
      <w:pPr>
        <w:spacing w:after="0" w:line="240" w:lineRule="auto"/>
      </w:pPr>
      <w:r>
        <w:separator/>
      </w:r>
    </w:p>
  </w:endnote>
  <w:endnote w:type="continuationSeparator" w:id="0">
    <w:p w:rsidR="00A21695" w:rsidRDefault="00A2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DCE" w:rsidRDefault="00620DCE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20DCE" w:rsidRDefault="00620DCE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DCE" w:rsidRDefault="00620DCE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1F20">
      <w:rPr>
        <w:rStyle w:val="a6"/>
        <w:noProof/>
      </w:rPr>
      <w:t>1</w:t>
    </w:r>
    <w:r>
      <w:rPr>
        <w:rStyle w:val="a6"/>
      </w:rPr>
      <w:fldChar w:fldCharType="end"/>
    </w:r>
  </w:p>
  <w:p w:rsidR="00620DCE" w:rsidRDefault="00620DCE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695" w:rsidRDefault="00A21695">
      <w:pPr>
        <w:spacing w:after="0" w:line="240" w:lineRule="auto"/>
      </w:pPr>
      <w:r>
        <w:separator/>
      </w:r>
    </w:p>
  </w:footnote>
  <w:footnote w:type="continuationSeparator" w:id="0">
    <w:p w:rsidR="00A21695" w:rsidRDefault="00A21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A76DD44"/>
    <w:lvl w:ilvl="0">
      <w:numFmt w:val="decimal"/>
      <w:lvlText w:val="*"/>
      <w:lvlJc w:val="left"/>
    </w:lvl>
  </w:abstractNum>
  <w:abstractNum w:abstractNumId="1">
    <w:nsid w:val="059E2E84"/>
    <w:multiLevelType w:val="hybridMultilevel"/>
    <w:tmpl w:val="919A2A6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254B1"/>
    <w:multiLevelType w:val="hybridMultilevel"/>
    <w:tmpl w:val="ABA66E36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>
    <w:nsid w:val="136A07CC"/>
    <w:multiLevelType w:val="hybridMultilevel"/>
    <w:tmpl w:val="0AE68544"/>
    <w:lvl w:ilvl="0" w:tplc="FFFFFFFF">
      <w:start w:val="7"/>
      <w:numFmt w:val="bullet"/>
      <w:lvlText w:val=""/>
      <w:lvlJc w:val="left"/>
      <w:pPr>
        <w:tabs>
          <w:tab w:val="num" w:pos="2025"/>
        </w:tabs>
        <w:ind w:left="2025" w:hanging="495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4">
    <w:nsid w:val="158674D7"/>
    <w:multiLevelType w:val="hybridMultilevel"/>
    <w:tmpl w:val="465CC0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A66A04"/>
    <w:multiLevelType w:val="singleLevel"/>
    <w:tmpl w:val="5DC4A4F8"/>
    <w:lvl w:ilvl="0">
      <w:start w:val="1"/>
      <w:numFmt w:val="decimal"/>
      <w:lvlText w:val="%1."/>
      <w:legacy w:legacy="1" w:legacySpace="0" w:legacyIndent="241"/>
      <w:lvlJc w:val="left"/>
      <w:rPr>
        <w:rFonts w:ascii="Times New Roman" w:hAnsi="Times New Roman" w:cs="Times New Roman" w:hint="default"/>
      </w:rPr>
    </w:lvl>
  </w:abstractNum>
  <w:abstractNum w:abstractNumId="6">
    <w:nsid w:val="286721FD"/>
    <w:multiLevelType w:val="hybridMultilevel"/>
    <w:tmpl w:val="5F883AEE"/>
    <w:lvl w:ilvl="0" w:tplc="3D1013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70285"/>
    <w:multiLevelType w:val="hybridMultilevel"/>
    <w:tmpl w:val="D75CA45E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35E316AE"/>
    <w:multiLevelType w:val="hybridMultilevel"/>
    <w:tmpl w:val="54DC101C"/>
    <w:lvl w:ilvl="0" w:tplc="3D1013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032D9"/>
    <w:multiLevelType w:val="hybridMultilevel"/>
    <w:tmpl w:val="7A964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2C765B"/>
    <w:multiLevelType w:val="hybridMultilevel"/>
    <w:tmpl w:val="88CC89DE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3E6900D5"/>
    <w:multiLevelType w:val="hybridMultilevel"/>
    <w:tmpl w:val="D5FCE482"/>
    <w:lvl w:ilvl="0" w:tplc="D706A1E2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71835C7"/>
    <w:multiLevelType w:val="hybridMultilevel"/>
    <w:tmpl w:val="BECC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719FA"/>
    <w:multiLevelType w:val="hybridMultilevel"/>
    <w:tmpl w:val="14AA0510"/>
    <w:lvl w:ilvl="0" w:tplc="FFFFFFFF">
      <w:start w:val="1"/>
      <w:numFmt w:val="bullet"/>
      <w:lvlText w:val=""/>
      <w:lvlJc w:val="left"/>
      <w:pPr>
        <w:tabs>
          <w:tab w:val="num" w:pos="1694"/>
        </w:tabs>
        <w:ind w:left="16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14"/>
        </w:tabs>
        <w:ind w:left="24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34"/>
        </w:tabs>
        <w:ind w:left="31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54"/>
        </w:tabs>
        <w:ind w:left="38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74"/>
        </w:tabs>
        <w:ind w:left="45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94"/>
        </w:tabs>
        <w:ind w:left="52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14"/>
        </w:tabs>
        <w:ind w:left="60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34"/>
        </w:tabs>
        <w:ind w:left="67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54"/>
        </w:tabs>
        <w:ind w:left="7454" w:hanging="360"/>
      </w:pPr>
      <w:rPr>
        <w:rFonts w:ascii="Wingdings" w:hAnsi="Wingdings" w:hint="default"/>
      </w:rPr>
    </w:lvl>
  </w:abstractNum>
  <w:abstractNum w:abstractNumId="14">
    <w:nsid w:val="58904B16"/>
    <w:multiLevelType w:val="singleLevel"/>
    <w:tmpl w:val="D5829AF2"/>
    <w:lvl w:ilvl="0">
      <w:start w:val="2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  <w:b w:val="0"/>
        <w:i w:val="0"/>
      </w:rPr>
    </w:lvl>
  </w:abstractNum>
  <w:abstractNum w:abstractNumId="15">
    <w:nsid w:val="653F7EEF"/>
    <w:multiLevelType w:val="singleLevel"/>
    <w:tmpl w:val="5DC4A4F8"/>
    <w:lvl w:ilvl="0">
      <w:start w:val="1"/>
      <w:numFmt w:val="decimal"/>
      <w:lvlText w:val="%1."/>
      <w:legacy w:legacy="1" w:legacySpace="0" w:legacyIndent="238"/>
      <w:lvlJc w:val="left"/>
      <w:rPr>
        <w:rFonts w:ascii="Times New Roman" w:hAnsi="Times New Roman" w:cs="Times New Roman" w:hint="default"/>
      </w:rPr>
    </w:lvl>
  </w:abstractNum>
  <w:abstractNum w:abstractNumId="16">
    <w:nsid w:val="73EE51EE"/>
    <w:multiLevelType w:val="hybridMultilevel"/>
    <w:tmpl w:val="D3F88064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7">
    <w:nsid w:val="77665C67"/>
    <w:multiLevelType w:val="hybridMultilevel"/>
    <w:tmpl w:val="4E94D492"/>
    <w:lvl w:ilvl="0" w:tplc="7CC40814">
      <w:start w:val="7"/>
      <w:numFmt w:val="decimal"/>
      <w:lvlText w:val="%1."/>
      <w:lvlJc w:val="left"/>
      <w:pPr>
        <w:ind w:left="216" w:hanging="31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1"/>
        <w:szCs w:val="31"/>
        <w:lang w:val="ru-RU" w:eastAsia="ru-RU" w:bidi="ru-RU"/>
      </w:rPr>
    </w:lvl>
    <w:lvl w:ilvl="1" w:tplc="57EEC498">
      <w:start w:val="1"/>
      <w:numFmt w:val="decimal"/>
      <w:lvlText w:val="%2."/>
      <w:lvlJc w:val="left"/>
      <w:pPr>
        <w:ind w:left="1304" w:hanging="31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1"/>
        <w:szCs w:val="31"/>
        <w:lang w:val="ru-RU" w:eastAsia="ru-RU" w:bidi="ru-RU"/>
      </w:rPr>
    </w:lvl>
    <w:lvl w:ilvl="2" w:tplc="8A3C99AA">
      <w:numFmt w:val="bullet"/>
      <w:lvlText w:val="•"/>
      <w:lvlJc w:val="left"/>
      <w:pPr>
        <w:ind w:left="2065" w:hanging="311"/>
      </w:pPr>
      <w:rPr>
        <w:rFonts w:hint="default"/>
        <w:lang w:val="ru-RU" w:eastAsia="ru-RU" w:bidi="ru-RU"/>
      </w:rPr>
    </w:lvl>
    <w:lvl w:ilvl="3" w:tplc="BAAAA5EC">
      <w:numFmt w:val="bullet"/>
      <w:lvlText w:val="•"/>
      <w:lvlJc w:val="left"/>
      <w:pPr>
        <w:ind w:left="3070" w:hanging="311"/>
      </w:pPr>
      <w:rPr>
        <w:rFonts w:hint="default"/>
        <w:lang w:val="ru-RU" w:eastAsia="ru-RU" w:bidi="ru-RU"/>
      </w:rPr>
    </w:lvl>
    <w:lvl w:ilvl="4" w:tplc="C464B3EA">
      <w:numFmt w:val="bullet"/>
      <w:lvlText w:val="•"/>
      <w:lvlJc w:val="left"/>
      <w:pPr>
        <w:ind w:left="4075" w:hanging="311"/>
      </w:pPr>
      <w:rPr>
        <w:rFonts w:hint="default"/>
        <w:lang w:val="ru-RU" w:eastAsia="ru-RU" w:bidi="ru-RU"/>
      </w:rPr>
    </w:lvl>
    <w:lvl w:ilvl="5" w:tplc="B958E06A">
      <w:numFmt w:val="bullet"/>
      <w:lvlText w:val="•"/>
      <w:lvlJc w:val="left"/>
      <w:pPr>
        <w:ind w:left="5080" w:hanging="311"/>
      </w:pPr>
      <w:rPr>
        <w:rFonts w:hint="default"/>
        <w:lang w:val="ru-RU" w:eastAsia="ru-RU" w:bidi="ru-RU"/>
      </w:rPr>
    </w:lvl>
    <w:lvl w:ilvl="6" w:tplc="DBA857CC">
      <w:numFmt w:val="bullet"/>
      <w:lvlText w:val="•"/>
      <w:lvlJc w:val="left"/>
      <w:pPr>
        <w:ind w:left="6085" w:hanging="311"/>
      </w:pPr>
      <w:rPr>
        <w:rFonts w:hint="default"/>
        <w:lang w:val="ru-RU" w:eastAsia="ru-RU" w:bidi="ru-RU"/>
      </w:rPr>
    </w:lvl>
    <w:lvl w:ilvl="7" w:tplc="BC02077C">
      <w:numFmt w:val="bullet"/>
      <w:lvlText w:val="•"/>
      <w:lvlJc w:val="left"/>
      <w:pPr>
        <w:ind w:left="7090" w:hanging="311"/>
      </w:pPr>
      <w:rPr>
        <w:rFonts w:hint="default"/>
        <w:lang w:val="ru-RU" w:eastAsia="ru-RU" w:bidi="ru-RU"/>
      </w:rPr>
    </w:lvl>
    <w:lvl w:ilvl="8" w:tplc="89F87DBA">
      <w:numFmt w:val="bullet"/>
      <w:lvlText w:val="•"/>
      <w:lvlJc w:val="left"/>
      <w:pPr>
        <w:ind w:left="8095" w:hanging="311"/>
      </w:pPr>
      <w:rPr>
        <w:rFonts w:hint="default"/>
        <w:lang w:val="ru-RU" w:eastAsia="ru-RU" w:bidi="ru-RU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8"/>
  </w:num>
  <w:num w:numId="5">
    <w:abstractNumId w:val="6"/>
  </w:num>
  <w:num w:numId="6">
    <w:abstractNumId w:val="17"/>
  </w:num>
  <w:num w:numId="7">
    <w:abstractNumId w:val="12"/>
  </w:num>
  <w:num w:numId="8">
    <w:abstractNumId w:val="4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  <w:lvlOverride w:ilvl="0">
      <w:lvl w:ilvl="0">
        <w:start w:val="65535"/>
        <w:numFmt w:val="bullet"/>
        <w:lvlText w:val="—"/>
        <w:legacy w:legacy="1" w:legacySpace="0" w:legacyIndent="284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5"/>
  </w:num>
  <w:num w:numId="15">
    <w:abstractNumId w:val="15"/>
  </w:num>
  <w:num w:numId="16">
    <w:abstractNumId w:val="14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B1"/>
    <w:rsid w:val="00002FFD"/>
    <w:rsid w:val="00055F68"/>
    <w:rsid w:val="00060DB1"/>
    <w:rsid w:val="00082A3D"/>
    <w:rsid w:val="000C4068"/>
    <w:rsid w:val="000F3280"/>
    <w:rsid w:val="00102EEE"/>
    <w:rsid w:val="00117D62"/>
    <w:rsid w:val="00135306"/>
    <w:rsid w:val="00146682"/>
    <w:rsid w:val="001550B9"/>
    <w:rsid w:val="00175B2A"/>
    <w:rsid w:val="001B62A0"/>
    <w:rsid w:val="00201B37"/>
    <w:rsid w:val="002079E9"/>
    <w:rsid w:val="0021761D"/>
    <w:rsid w:val="00223F2A"/>
    <w:rsid w:val="0022614E"/>
    <w:rsid w:val="00232B79"/>
    <w:rsid w:val="00235400"/>
    <w:rsid w:val="00250063"/>
    <w:rsid w:val="00271D88"/>
    <w:rsid w:val="002779CB"/>
    <w:rsid w:val="00295A35"/>
    <w:rsid w:val="002A5D01"/>
    <w:rsid w:val="002B5482"/>
    <w:rsid w:val="002E2F37"/>
    <w:rsid w:val="002F64DB"/>
    <w:rsid w:val="00304509"/>
    <w:rsid w:val="0031546B"/>
    <w:rsid w:val="00324D28"/>
    <w:rsid w:val="00366822"/>
    <w:rsid w:val="003708A6"/>
    <w:rsid w:val="00374583"/>
    <w:rsid w:val="00381FC4"/>
    <w:rsid w:val="003E2783"/>
    <w:rsid w:val="003E2797"/>
    <w:rsid w:val="003E647B"/>
    <w:rsid w:val="00422586"/>
    <w:rsid w:val="004747A4"/>
    <w:rsid w:val="00484E19"/>
    <w:rsid w:val="0049588D"/>
    <w:rsid w:val="004A5001"/>
    <w:rsid w:val="004C5CA6"/>
    <w:rsid w:val="00567F7B"/>
    <w:rsid w:val="0059410E"/>
    <w:rsid w:val="005956C2"/>
    <w:rsid w:val="005973CB"/>
    <w:rsid w:val="005E3FAB"/>
    <w:rsid w:val="00620DCE"/>
    <w:rsid w:val="0066561D"/>
    <w:rsid w:val="006678FA"/>
    <w:rsid w:val="006A5113"/>
    <w:rsid w:val="006A6580"/>
    <w:rsid w:val="006C3B43"/>
    <w:rsid w:val="006D41FE"/>
    <w:rsid w:val="00705845"/>
    <w:rsid w:val="00706A07"/>
    <w:rsid w:val="0072102C"/>
    <w:rsid w:val="00724E03"/>
    <w:rsid w:val="00731394"/>
    <w:rsid w:val="00737CB9"/>
    <w:rsid w:val="00743242"/>
    <w:rsid w:val="00775299"/>
    <w:rsid w:val="00782668"/>
    <w:rsid w:val="00797A22"/>
    <w:rsid w:val="007B3C03"/>
    <w:rsid w:val="007B4676"/>
    <w:rsid w:val="007F78CA"/>
    <w:rsid w:val="008353B5"/>
    <w:rsid w:val="00835FA6"/>
    <w:rsid w:val="00844B92"/>
    <w:rsid w:val="00847905"/>
    <w:rsid w:val="008921B0"/>
    <w:rsid w:val="00895F72"/>
    <w:rsid w:val="008A199B"/>
    <w:rsid w:val="008D1C91"/>
    <w:rsid w:val="008D504D"/>
    <w:rsid w:val="008D6027"/>
    <w:rsid w:val="008D7766"/>
    <w:rsid w:val="0091085C"/>
    <w:rsid w:val="00911DF3"/>
    <w:rsid w:val="00913AC7"/>
    <w:rsid w:val="0095292E"/>
    <w:rsid w:val="009562AE"/>
    <w:rsid w:val="00973729"/>
    <w:rsid w:val="00987629"/>
    <w:rsid w:val="009B2C22"/>
    <w:rsid w:val="009D26AD"/>
    <w:rsid w:val="009F3389"/>
    <w:rsid w:val="009F405F"/>
    <w:rsid w:val="00A0261C"/>
    <w:rsid w:val="00A02B4C"/>
    <w:rsid w:val="00A043AF"/>
    <w:rsid w:val="00A12656"/>
    <w:rsid w:val="00A12D79"/>
    <w:rsid w:val="00A21695"/>
    <w:rsid w:val="00A512FA"/>
    <w:rsid w:val="00A55039"/>
    <w:rsid w:val="00A62598"/>
    <w:rsid w:val="00A900A2"/>
    <w:rsid w:val="00A931EB"/>
    <w:rsid w:val="00A93547"/>
    <w:rsid w:val="00AA5902"/>
    <w:rsid w:val="00AB08BF"/>
    <w:rsid w:val="00AB3860"/>
    <w:rsid w:val="00AD1F20"/>
    <w:rsid w:val="00B2327F"/>
    <w:rsid w:val="00B476D2"/>
    <w:rsid w:val="00B74EE0"/>
    <w:rsid w:val="00BA18B7"/>
    <w:rsid w:val="00BC715D"/>
    <w:rsid w:val="00BD6E0B"/>
    <w:rsid w:val="00C012B1"/>
    <w:rsid w:val="00C22D62"/>
    <w:rsid w:val="00C42164"/>
    <w:rsid w:val="00C449FF"/>
    <w:rsid w:val="00C52787"/>
    <w:rsid w:val="00C7264B"/>
    <w:rsid w:val="00CF1CA0"/>
    <w:rsid w:val="00D06FE9"/>
    <w:rsid w:val="00D1436C"/>
    <w:rsid w:val="00D71927"/>
    <w:rsid w:val="00DD6FC4"/>
    <w:rsid w:val="00DF11B2"/>
    <w:rsid w:val="00E11663"/>
    <w:rsid w:val="00E3661F"/>
    <w:rsid w:val="00E82199"/>
    <w:rsid w:val="00E836C8"/>
    <w:rsid w:val="00EB62D8"/>
    <w:rsid w:val="00EC24EC"/>
    <w:rsid w:val="00EF1FA5"/>
    <w:rsid w:val="00F51A22"/>
    <w:rsid w:val="00F522CC"/>
    <w:rsid w:val="00F82A6F"/>
    <w:rsid w:val="00F84965"/>
    <w:rsid w:val="00FB1A15"/>
    <w:rsid w:val="00FD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A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FB1A1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22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8353B5"/>
  </w:style>
  <w:style w:type="character" w:styleId="a7">
    <w:name w:val="Hyperlink"/>
    <w:basedOn w:val="a0"/>
    <w:uiPriority w:val="99"/>
    <w:unhideWhenUsed/>
    <w:rsid w:val="00AA5902"/>
    <w:rPr>
      <w:color w:val="0563C1" w:themeColor="hyperlink"/>
      <w:u w:val="single"/>
    </w:rPr>
  </w:style>
  <w:style w:type="paragraph" w:styleId="a8">
    <w:name w:val="Body Text"/>
    <w:basedOn w:val="a"/>
    <w:link w:val="a9"/>
    <w:uiPriority w:val="1"/>
    <w:qFormat/>
    <w:rsid w:val="00B232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1"/>
      <w:szCs w:val="31"/>
      <w:lang w:eastAsia="ru-RU" w:bidi="ru-RU"/>
    </w:rPr>
  </w:style>
  <w:style w:type="character" w:customStyle="1" w:styleId="a9">
    <w:name w:val="Основной текст Знак"/>
    <w:basedOn w:val="a0"/>
    <w:link w:val="a8"/>
    <w:uiPriority w:val="1"/>
    <w:rsid w:val="00B2327F"/>
    <w:rPr>
      <w:rFonts w:ascii="Times New Roman" w:eastAsia="Times New Roman" w:hAnsi="Times New Roman" w:cs="Times New Roman"/>
      <w:sz w:val="31"/>
      <w:szCs w:val="31"/>
      <w:lang w:eastAsia="ru-RU" w:bidi="ru-RU"/>
    </w:rPr>
  </w:style>
  <w:style w:type="paragraph" w:styleId="aa">
    <w:name w:val="Balloon Text"/>
    <w:basedOn w:val="a"/>
    <w:link w:val="ab"/>
    <w:uiPriority w:val="99"/>
    <w:semiHidden/>
    <w:unhideWhenUsed/>
    <w:rsid w:val="00B74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4EE0"/>
    <w:rPr>
      <w:rFonts w:ascii="Segoe UI" w:hAnsi="Segoe UI" w:cs="Segoe UI"/>
      <w:sz w:val="18"/>
      <w:szCs w:val="18"/>
    </w:rPr>
  </w:style>
  <w:style w:type="character" w:styleId="ac">
    <w:name w:val="Strong"/>
    <w:uiPriority w:val="22"/>
    <w:qFormat/>
    <w:rsid w:val="00295A35"/>
    <w:rPr>
      <w:rFonts w:cs="Times New Roman"/>
      <w:b/>
      <w:bCs/>
    </w:rPr>
  </w:style>
  <w:style w:type="paragraph" w:styleId="ad">
    <w:name w:val="footer"/>
    <w:basedOn w:val="a"/>
    <w:link w:val="ae"/>
    <w:rsid w:val="00201B37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201B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A12D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A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FB1A1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22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8353B5"/>
  </w:style>
  <w:style w:type="character" w:styleId="a7">
    <w:name w:val="Hyperlink"/>
    <w:basedOn w:val="a0"/>
    <w:uiPriority w:val="99"/>
    <w:unhideWhenUsed/>
    <w:rsid w:val="00AA5902"/>
    <w:rPr>
      <w:color w:val="0563C1" w:themeColor="hyperlink"/>
      <w:u w:val="single"/>
    </w:rPr>
  </w:style>
  <w:style w:type="paragraph" w:styleId="a8">
    <w:name w:val="Body Text"/>
    <w:basedOn w:val="a"/>
    <w:link w:val="a9"/>
    <w:uiPriority w:val="1"/>
    <w:qFormat/>
    <w:rsid w:val="00B232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1"/>
      <w:szCs w:val="31"/>
      <w:lang w:eastAsia="ru-RU" w:bidi="ru-RU"/>
    </w:rPr>
  </w:style>
  <w:style w:type="character" w:customStyle="1" w:styleId="a9">
    <w:name w:val="Основной текст Знак"/>
    <w:basedOn w:val="a0"/>
    <w:link w:val="a8"/>
    <w:uiPriority w:val="1"/>
    <w:rsid w:val="00B2327F"/>
    <w:rPr>
      <w:rFonts w:ascii="Times New Roman" w:eastAsia="Times New Roman" w:hAnsi="Times New Roman" w:cs="Times New Roman"/>
      <w:sz w:val="31"/>
      <w:szCs w:val="31"/>
      <w:lang w:eastAsia="ru-RU" w:bidi="ru-RU"/>
    </w:rPr>
  </w:style>
  <w:style w:type="paragraph" w:styleId="aa">
    <w:name w:val="Balloon Text"/>
    <w:basedOn w:val="a"/>
    <w:link w:val="ab"/>
    <w:uiPriority w:val="99"/>
    <w:semiHidden/>
    <w:unhideWhenUsed/>
    <w:rsid w:val="00B74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4EE0"/>
    <w:rPr>
      <w:rFonts w:ascii="Segoe UI" w:hAnsi="Segoe UI" w:cs="Segoe UI"/>
      <w:sz w:val="18"/>
      <w:szCs w:val="18"/>
    </w:rPr>
  </w:style>
  <w:style w:type="character" w:styleId="ac">
    <w:name w:val="Strong"/>
    <w:uiPriority w:val="22"/>
    <w:qFormat/>
    <w:rsid w:val="00295A35"/>
    <w:rPr>
      <w:rFonts w:cs="Times New Roman"/>
      <w:b/>
      <w:bCs/>
    </w:rPr>
  </w:style>
  <w:style w:type="paragraph" w:styleId="ad">
    <w:name w:val="footer"/>
    <w:basedOn w:val="a"/>
    <w:link w:val="ae"/>
    <w:rsid w:val="00201B37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201B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A12D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idruchniki.ws/filosofiya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hilsci.univ.kiev.ua/bibl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latonanet.org.ua/load/knigipo_filosofi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84A6-7752-44CF-9BDA-F7222BFD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3047</Words>
  <Characters>17372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25</cp:revision>
  <cp:lastPrinted>2020-09-07T09:43:00Z</cp:lastPrinted>
  <dcterms:created xsi:type="dcterms:W3CDTF">2022-09-02T13:26:00Z</dcterms:created>
  <dcterms:modified xsi:type="dcterms:W3CDTF">2024-03-07T17:43:00Z</dcterms:modified>
</cp:coreProperties>
</file>