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B11F4B"/>
          <w:sz w:val="20"/>
        </w:rPr>
        <w:t>[Legacy_System_Map]</w:t>
      </w:r>
    </w:p>
    <w:p>
      <w:r>
        <w:rPr>
          <w:b/>
          <w:color w:val="242424"/>
          <w:sz w:val="40"/>
        </w:rPr>
        <w:t>SK케미칼 사내 시스템 · 데이터 연계 맵</w:t>
      </w:r>
    </w:p>
    <w:p>
      <w:r>
        <w:rPr>
          <w:color w:val="5C5C5C"/>
          <w:sz w:val="22"/>
        </w:rPr>
        <w:t>에이전트 연동 가능 시스템과 데이터 접근성 정보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F5F5F5"/>
          </w:tcPr>
          <w:p>
            <w:r>
              <w:rPr>
                <w:b/>
                <w:sz w:val="17"/>
              </w:rPr>
              <w:t>주관</w:t>
            </w:r>
          </w:p>
        </w:tc>
        <w:tc>
          <w:tcPr>
            <w:tcW w:type="dxa" w:w="2160"/>
            <w:shd w:val="clear" w:fill="F5F5F5"/>
          </w:tcPr>
          <w:p>
            <w:r>
              <w:rPr>
                <w:b/>
                <w:sz w:val="17"/>
              </w:rPr>
              <w:t>최종 수정</w:t>
            </w:r>
          </w:p>
        </w:tc>
        <w:tc>
          <w:tcPr>
            <w:tcW w:type="dxa" w:w="2160"/>
            <w:shd w:val="clear" w:fill="F5F5F5"/>
          </w:tcPr>
          <w:p>
            <w:r>
              <w:rPr>
                <w:b/>
                <w:sz w:val="17"/>
              </w:rPr>
              <w:t>보안등급</w:t>
            </w:r>
          </w:p>
        </w:tc>
        <w:tc>
          <w:tcPr>
            <w:tcW w:type="dxa" w:w="2160"/>
            <w:shd w:val="clear" w:fill="F5F5F5"/>
          </w:tcPr>
          <w:p>
            <w:r>
              <w:rPr>
                <w:b/>
                <w:sz w:val="17"/>
              </w:rPr>
              <w:t>용도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DT실 시스템개발팀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2026-05-28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내부용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Copilot Studio Knowledge Source</w:t>
            </w:r>
          </w:p>
        </w:tc>
      </w:tr>
    </w:tbl>
    <w:p/>
    <w:p>
      <w:pPr>
        <w:spacing w:before="200" w:after="80"/>
      </w:pPr>
      <w:r>
        <w:rPr>
          <w:b/>
          <w:color w:val="B11F4B"/>
          <w:sz w:val="26"/>
        </w:rPr>
        <w:t>1. 핵심 사내 시스템 개요</w:t>
      </w:r>
    </w:p>
    <w:p>
      <w:pPr>
        <w:spacing w:after="40"/>
      </w:pPr>
      <w:r>
        <w:t>일반 LLM이 알 수 없는 사내 시스템 정보입니다. 에이전트 설계 시 연동 가능성과 접근 방식을 아래 표로 판단합니다.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B11F4B"/>
          </w:tcPr>
          <w:p>
            <w:r>
              <w:rPr>
                <w:b/>
                <w:color w:val="FFFFFF"/>
                <w:sz w:val="18"/>
              </w:rPr>
              <w:t>시스템</w:t>
            </w:r>
          </w:p>
        </w:tc>
        <w:tc>
          <w:tcPr>
            <w:tcW w:type="dxa" w:w="2304"/>
            <w:shd w:val="clear" w:fill="B11F4B"/>
          </w:tcPr>
          <w:p>
            <w:r>
              <w:rPr>
                <w:b/>
                <w:color w:val="FFFFFF"/>
                <w:sz w:val="18"/>
              </w:rPr>
              <w:t>용도</w:t>
            </w:r>
          </w:p>
        </w:tc>
        <w:tc>
          <w:tcPr>
            <w:tcW w:type="dxa" w:w="2448"/>
            <w:shd w:val="clear" w:fill="B11F4B"/>
          </w:tcPr>
          <w:p>
            <w:r>
              <w:rPr>
                <w:b/>
                <w:color w:val="FFFFFF"/>
                <w:sz w:val="18"/>
              </w:rPr>
              <w:t>보유 데이터</w:t>
            </w:r>
          </w:p>
        </w:tc>
        <w:tc>
          <w:tcPr>
            <w:tcW w:type="dxa" w:w="2304"/>
            <w:shd w:val="clear" w:fill="B11F4B"/>
          </w:tcPr>
          <w:p>
            <w:r>
              <w:rPr>
                <w:b/>
                <w:color w:val="FFFFFF"/>
                <w:sz w:val="18"/>
              </w:rPr>
              <w:t>연동 방식</w:t>
            </w:r>
          </w:p>
        </w:tc>
        <w:tc>
          <w:tcPr>
            <w:tcW w:type="dxa" w:w="1584"/>
            <w:shd w:val="clear" w:fill="B11F4B"/>
          </w:tcPr>
          <w:p>
            <w:r>
              <w:rPr>
                <w:b/>
                <w:color w:val="FFFFFF"/>
                <w:sz w:val="18"/>
              </w:rPr>
              <w:t>접근성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SAP S/4HANA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전사 ERP(재무·구매·생산)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전표, 구매오더, 생산실적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OData API(읽기 위주)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중 (승인 필요)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Knox 그룹웨어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전자결재·메일·게시판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결재 문서, 공지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표준 API 미지원(RPA 보완)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낮음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SharePoint Online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문서·지식 저장소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보고서, 양식, 매뉴얼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Microsoft Graph API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높음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MES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생산실행시스템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공정 데이터, 설비 가동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사내 IF 서버 경유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낮음 (현장 한정)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LIMS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품질·시험 관리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시험 성적서, 규격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DB 직접조회(제한)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중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PLM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제품수명주기관리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BOM, 스펙, 설계변경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전용 커넥터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중</w:t>
            </w:r>
          </w:p>
        </w:tc>
      </w:tr>
    </w:tbl>
    <w:p>
      <w:pPr>
        <w:spacing w:before="200" w:after="80"/>
      </w:pPr>
      <w:r>
        <w:rPr>
          <w:b/>
          <w:color w:val="B11F4B"/>
          <w:sz w:val="26"/>
        </w:rPr>
        <w:t>2. 데이터 접근성 등급 정의</w:t>
      </w:r>
    </w:p>
    <w:p>
      <w:pPr>
        <w:pStyle w:val="ListBullet"/>
        <w:spacing w:after="20"/>
      </w:pPr>
      <w:r>
        <w:t>높음: Graph/REST API 표준 지원 → 에이전트 직접 연동 권장.</w:t>
      </w:r>
    </w:p>
    <w:p>
      <w:pPr>
        <w:pStyle w:val="ListBullet"/>
        <w:spacing w:after="20"/>
      </w:pPr>
      <w:r>
        <w:t>중: 제한적 API·DB 조회 가능 → IT 승인 및 커넥터 구성 필요.</w:t>
      </w:r>
    </w:p>
    <w:p>
      <w:pPr>
        <w:pStyle w:val="ListBullet"/>
        <w:spacing w:after="20"/>
      </w:pPr>
      <w:r>
        <w:t>낮음: 표준 연동 불가 → 수동 업로드 또는 RPA, 단기 Knowledge Source화 권장.</w:t>
      </w:r>
    </w:p>
    <w:p>
      <w:pPr>
        <w:spacing w:before="200" w:after="80"/>
      </w:pPr>
      <w:r>
        <w:rPr>
          <w:b/>
          <w:color w:val="B11F4B"/>
          <w:sz w:val="26"/>
        </w:rPr>
        <w:t>3. 권장 연동 패턴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56"/>
            <w:shd w:val="clear" w:fill="B11F4B"/>
          </w:tcPr>
          <w:p>
            <w:r>
              <w:rPr>
                <w:b/>
                <w:color w:val="FFFFFF"/>
                <w:sz w:val="18"/>
              </w:rPr>
              <w:t>시나리오</w:t>
            </w:r>
          </w:p>
        </w:tc>
        <w:tc>
          <w:tcPr>
            <w:tcW w:type="dxa" w:w="5760"/>
            <w:shd w:val="clear" w:fill="B11F4B"/>
          </w:tcPr>
          <w:p>
            <w:r>
              <w:rPr>
                <w:b/>
                <w:color w:val="FFFFFF"/>
                <w:sz w:val="18"/>
              </w:rPr>
              <w:t>권장 패턴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문서 기반 질의응답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SharePoint 문서 → Copilot Studio Knowledge Source 등록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실적·수치 조회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SAP OData → Power Automate 커넥터 → Dataverse 캐싱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품질 성적 조회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LIMS 추출 데이터 → 주기적 SharePoint 업로드 → 그라운딩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결재·메일 연계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Knox는 직접 연동 대신 산출물 SharePoint 저장 후 활용</w:t>
            </w:r>
          </w:p>
        </w:tc>
      </w:tr>
    </w:tbl>
    <w:p>
      <w:pPr>
        <w:spacing w:before="200" w:after="80"/>
      </w:pPr>
      <w:r>
        <w:rPr>
          <w:b/>
          <w:color w:val="B11F4B"/>
          <w:sz w:val="26"/>
        </w:rPr>
        <w:t>4. 연동 시 주의사항</w:t>
      </w:r>
    </w:p>
    <w:p>
      <w:pPr>
        <w:pStyle w:val="ListBullet"/>
        <w:spacing w:after="20"/>
      </w:pPr>
      <w:r>
        <w:t>운영 시스템(SAP·MES) 직접 쓰기(write)는 원칙적으로 금지, 읽기 전용으로 설계.</w:t>
      </w:r>
    </w:p>
    <w:p>
      <w:pPr>
        <w:pStyle w:val="ListBullet"/>
        <w:spacing w:after="20"/>
      </w:pPr>
      <w:r>
        <w:t>대용량 조회는 야간 배치/캐싱으로 분산하여 운영 시스템 부하 방지.</w:t>
      </w:r>
    </w:p>
    <w:p>
      <w:pPr>
        <w:pStyle w:val="ListBullet"/>
        <w:spacing w:after="20"/>
      </w:pPr>
      <w:r>
        <w:t>시스템 연동은 DT실 사전 승인 및 테스트 환경 검증 후 운영 반영.</w:t>
      </w:r>
    </w:p>
    <w:p/>
    <w:p>
      <w:r>
        <w:rPr>
          <w:i/>
          <w:color w:val="5C5C5C"/>
          <w:sz w:val="16"/>
        </w:rPr>
        <w:t>※ 본 문서는 SK케미칼 A4A 핸즈온 실습용 mock 데이터입니다. 실제 사내 규정·시스템 정보가 아니며 교육 목적으로만 사용합니다.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color w:val="2424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