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B11F4B"/>
          <w:sz w:val="20"/>
        </w:rPr>
        <w:t>[Security_Rule]</w:t>
      </w:r>
    </w:p>
    <w:p>
      <w:r>
        <w:rPr>
          <w:rFonts w:ascii="맑은 고딕" w:hAnsi="맑은 고딕" w:eastAsia="맑은 고딕"/>
          <w:b/>
          <w:color w:val="242424"/>
          <w:sz w:val="40"/>
        </w:rPr>
        <w:t>생성형 AI · 에이전트 정보보안 가이드라인</w:t>
      </w:r>
    </w:p>
    <w:p>
      <w:r>
        <w:rPr>
          <w:rFonts w:ascii="맑은 고딕" w:hAnsi="맑은 고딕" w:eastAsia="맑은 고딕"/>
          <w:color w:val="5C5C5C"/>
          <w:sz w:val="22"/>
        </w:rPr>
        <w:t>에이전트 설계 시 반드시 준수해야 할 데이터 보안 규정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5F5F5"/>
          </w:tcPr>
          <w:p>
            <w:r>
              <w:rPr>
                <w:rFonts w:ascii="맑은 고딕" w:hAnsi="맑은 고딕" w:eastAsia="맑은 고딕"/>
                <w:b/>
                <w:sz w:val="17"/>
              </w:rPr>
              <w:t>주관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rFonts w:ascii="맑은 고딕" w:hAnsi="맑은 고딕" w:eastAsia="맑은 고딕"/>
                <w:b/>
                <w:sz w:val="17"/>
              </w:rPr>
              <w:t>최종 수정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rFonts w:ascii="맑은 고딕" w:hAnsi="맑은 고딕" w:eastAsia="맑은 고딕"/>
                <w:b/>
                <w:sz w:val="17"/>
              </w:rPr>
              <w:t>보안등급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rFonts w:ascii="맑은 고딕" w:hAnsi="맑은 고딕" w:eastAsia="맑은 고딕"/>
                <w:b/>
                <w:sz w:val="17"/>
              </w:rPr>
              <w:t>용도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7"/>
              </w:rPr>
              <w:t>정보보안팀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7"/>
              </w:rPr>
              <w:t>2026-05-30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7"/>
              </w:rPr>
              <w:t>내부용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7"/>
              </w:rPr>
              <w:t>Copilot Studio Knowledge Source</w:t>
            </w:r>
          </w:p>
        </w:tc>
      </w:tr>
    </w:tbl>
    <w:p/>
    <w:p>
      <w:pPr>
        <w:spacing w:after="40"/>
      </w:pPr>
      <w:r>
        <w:rPr>
          <w:rFonts w:ascii="맑은 고딕" w:hAnsi="맑은 고딕" w:eastAsia="맑은 고딕"/>
          <w:b/>
          <w:color w:val="5C5C5C"/>
          <w:sz w:val="17"/>
        </w:rPr>
        <w:t xml:space="preserve">키워드: </w:t>
      </w:r>
      <w:r>
        <w:rPr>
          <w:rFonts w:ascii="맑은 고딕" w:hAnsi="맑은 고딕" w:eastAsia="맑은 고딕"/>
          <w:color w:val="5C5C5C"/>
          <w:sz w:val="17"/>
        </w:rPr>
        <w:t>정보등급, 데이터 분류, 개인정보, DLP, Shadow AI, HITL, 보안 체크리스트, 승인 도구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EF4FB"/>
          </w:tcPr>
          <w:p>
            <w:r/>
            <w:r>
              <w:rPr>
                <w:rFonts w:ascii="맑은 고딕" w:hAnsi="맑은 고딕" w:eastAsia="맑은 고딕"/>
                <w:b/>
                <w:color w:val="242424"/>
                <w:sz w:val="18"/>
              </w:rPr>
              <w:t xml:space="preserve">이 문서 사용법: </w:t>
            </w:r>
            <w:r>
              <w:rPr>
                <w:rFonts w:ascii="맑은 고딕" w:hAnsi="맑은 고딕" w:eastAsia="맑은 고딕"/>
                <w:color w:val="242424"/>
                <w:sz w:val="18"/>
              </w:rPr>
              <w:t>에이전트가 다루려는 데이터의 보안 등급을 먼저 확인하고, 그 등급에서 허용되는 플랫폼·입력 방식만 설계에 반영하세요.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color w:val="B11F4B"/>
          <w:sz w:val="26"/>
        </w:rPr>
        <w:t>한눈 요약 (TL;DR)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DF2F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• 사내 데이터는 공개·내부·대외비·극비 4단계로 분류한다.</w:t>
            </w:r>
          </w:p>
          <w:p>
            <w:r>
              <w:rPr>
                <w:rFonts w:ascii="맑은 고딕" w:hAnsi="맑은 고딕" w:eastAsia="맑은 고딕"/>
                <w:sz w:val="19"/>
              </w:rPr>
              <w:t>• 대외비 이상 정보는 외부 공개 LLM(ChatGPT 등)에 입력 금지.</w:t>
            </w:r>
          </w:p>
          <w:p>
            <w:r>
              <w:rPr>
                <w:rFonts w:ascii="맑은 고딕" w:hAnsi="맑은 고딕" w:eastAsia="맑은 고딕"/>
                <w:sz w:val="19"/>
              </w:rPr>
              <w:t>• 승인된 도구는 Microsoft 365 Copilot, Copilot Studio(사내 테넌트), Azure OpenAI(사내 구독)뿐이다.</w:t>
            </w:r>
          </w:p>
          <w:p>
            <w:r>
              <w:rPr>
                <w:rFonts w:ascii="맑은 고딕" w:hAnsi="맑은 고딕" w:eastAsia="맑은 고딕"/>
                <w:sz w:val="19"/>
              </w:rPr>
              <w:t>• 외부 공유 산출물은 담당자 검토(HITL) 후 배포한다.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color w:val="B11F4B"/>
          <w:sz w:val="26"/>
        </w:rPr>
        <w:t>1. 정보 등급 분류 체계</w:t>
      </w:r>
    </w:p>
    <w:p>
      <w:pPr>
        <w:spacing w:after="40"/>
      </w:pPr>
      <w:r>
        <w:rPr>
          <w:rFonts w:ascii="맑은 고딕" w:hAnsi="맑은 고딕" w:eastAsia="맑은 고딕"/>
          <w:sz w:val="21"/>
        </w:rPr>
        <w:t>모든 사내 데이터는 아래 4단계로 분류되며, 등급에 따라 생성형 AI·에이전트 활용 범위가 결정됩니다.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584"/>
            <w:shd w:val="clear" w:fill="B11F4B"/>
          </w:tcPr>
          <w:p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등급</w:t>
            </w:r>
          </w:p>
        </w:tc>
        <w:tc>
          <w:tcPr>
            <w:tcW w:type="dxa" w:w="2304"/>
            <w:shd w:val="clear" w:fill="B11F4B"/>
          </w:tcPr>
          <w:p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정의</w:t>
            </w:r>
          </w:p>
        </w:tc>
        <w:tc>
          <w:tcPr>
            <w:tcW w:type="dxa" w:w="2736"/>
            <w:shd w:val="clear" w:fill="B11F4B"/>
          </w:tcPr>
          <w:p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예시</w:t>
            </w:r>
          </w:p>
        </w:tc>
        <w:tc>
          <w:tcPr>
            <w:tcW w:type="dxa" w:w="1872"/>
            <w:shd w:val="clear" w:fill="B11F4B"/>
          </w:tcPr>
          <w:p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생성형 AI 입력</w:t>
            </w:r>
          </w:p>
        </w:tc>
        <w:tc>
          <w:tcPr>
            <w:tcW w:type="dxa" w:w="2160"/>
            <w:shd w:val="clear" w:fill="B11F4B"/>
          </w:tcPr>
          <w:p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권장 플랫폼</w:t>
            </w:r>
          </w:p>
        </w:tc>
      </w:tr>
      <w:tr>
        <w:tc>
          <w:tcPr>
            <w:tcW w:type="dxa" w:w="1584"/>
          </w:tcPr>
          <w:p>
            <w:r>
              <w:rPr>
                <w:rFonts w:ascii="맑은 고딕" w:hAnsi="맑은 고딕" w:eastAsia="맑은 고딕"/>
                <w:sz w:val="18"/>
              </w:rPr>
              <w:t>공개(Public)</w:t>
            </w:r>
          </w:p>
        </w:tc>
        <w:tc>
          <w:tcPr>
            <w:tcW w:type="dxa" w:w="2304"/>
          </w:tcPr>
          <w:p>
            <w:r>
              <w:rPr>
                <w:rFonts w:ascii="맑은 고딕" w:hAnsi="맑은 고딕" w:eastAsia="맑은 고딕"/>
                <w:sz w:val="18"/>
              </w:rPr>
              <w:t>외부 공개 가능 정보</w:t>
            </w:r>
          </w:p>
        </w:tc>
        <w:tc>
          <w:tcPr>
            <w:tcW w:type="dxa" w:w="2736"/>
          </w:tcPr>
          <w:p>
            <w:r>
              <w:rPr>
                <w:rFonts w:ascii="맑은 고딕" w:hAnsi="맑은 고딕" w:eastAsia="맑은 고딕"/>
                <w:sz w:val="18"/>
              </w:rPr>
              <w:t>보도자료, 홈페이지 게시물</w:t>
            </w:r>
          </w:p>
        </w:tc>
        <w:tc>
          <w:tcPr>
            <w:tcW w:type="dxa" w:w="1872"/>
          </w:tcPr>
          <w:p>
            <w:r>
              <w:rPr>
                <w:rFonts w:ascii="맑은 고딕" w:hAnsi="맑은 고딕" w:eastAsia="맑은 고딕"/>
                <w:sz w:val="18"/>
              </w:rPr>
              <w:t>허용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제한 없음</w:t>
            </w:r>
          </w:p>
        </w:tc>
      </w:tr>
      <w:tr>
        <w:tc>
          <w:tcPr>
            <w:tcW w:type="dxa" w:w="1584"/>
          </w:tcPr>
          <w:p>
            <w:r>
              <w:rPr>
                <w:rFonts w:ascii="맑은 고딕" w:hAnsi="맑은 고딕" w:eastAsia="맑은 고딕"/>
                <w:sz w:val="18"/>
              </w:rPr>
              <w:t>내부(Internal)</w:t>
            </w:r>
          </w:p>
        </w:tc>
        <w:tc>
          <w:tcPr>
            <w:tcW w:type="dxa" w:w="2304"/>
          </w:tcPr>
          <w:p>
            <w:r>
              <w:rPr>
                <w:rFonts w:ascii="맑은 고딕" w:hAnsi="맑은 고딕" w:eastAsia="맑은 고딕"/>
                <w:sz w:val="18"/>
              </w:rPr>
              <w:t>사내 한정 정보</w:t>
            </w:r>
          </w:p>
        </w:tc>
        <w:tc>
          <w:tcPr>
            <w:tcW w:type="dxa" w:w="2736"/>
          </w:tcPr>
          <w:p>
            <w:r>
              <w:rPr>
                <w:rFonts w:ascii="맑은 고딕" w:hAnsi="맑은 고딕" w:eastAsia="맑은 고딕"/>
                <w:sz w:val="18"/>
              </w:rPr>
              <w:t>내부 공지, 일반 회의록</w:t>
            </w:r>
          </w:p>
        </w:tc>
        <w:tc>
          <w:tcPr>
            <w:tcW w:type="dxa" w:w="1872"/>
          </w:tcPr>
          <w:p>
            <w:r>
              <w:rPr>
                <w:rFonts w:ascii="맑은 고딕" w:hAnsi="맑은 고딕" w:eastAsia="맑은 고딕"/>
                <w:sz w:val="18"/>
              </w:rPr>
              <w:t>사내 승인 AI만 허용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M365 Copilot / Agent Builder</w:t>
            </w:r>
          </w:p>
        </w:tc>
      </w:tr>
      <w:tr>
        <w:tc>
          <w:tcPr>
            <w:tcW w:type="dxa" w:w="1584"/>
          </w:tcPr>
          <w:p>
            <w:r>
              <w:rPr>
                <w:rFonts w:ascii="맑은 고딕" w:hAnsi="맑은 고딕" w:eastAsia="맑은 고딕"/>
                <w:sz w:val="18"/>
              </w:rPr>
              <w:t>대외비(Confidential)</w:t>
            </w:r>
          </w:p>
        </w:tc>
        <w:tc>
          <w:tcPr>
            <w:tcW w:type="dxa" w:w="2304"/>
          </w:tcPr>
          <w:p>
            <w:r>
              <w:rPr>
                <w:rFonts w:ascii="맑은 고딕" w:hAnsi="맑은 고딕" w:eastAsia="맑은 고딕"/>
                <w:sz w:val="18"/>
              </w:rPr>
              <w:t>유출 시 경영 영향</w:t>
            </w:r>
          </w:p>
        </w:tc>
        <w:tc>
          <w:tcPr>
            <w:tcW w:type="dxa" w:w="2736"/>
          </w:tcPr>
          <w:p>
            <w:r>
              <w:rPr>
                <w:rFonts w:ascii="맑은 고딕" w:hAnsi="맑은 고딕" w:eastAsia="맑은 고딕"/>
                <w:sz w:val="18"/>
              </w:rPr>
              <w:t>미공개 실적, 가격 정책, R&amp;D 진행</w:t>
            </w:r>
          </w:p>
        </w:tc>
        <w:tc>
          <w:tcPr>
            <w:tcW w:type="dxa" w:w="1872"/>
          </w:tcPr>
          <w:p>
            <w:r>
              <w:rPr>
                <w:rFonts w:ascii="맑은 고딕" w:hAnsi="맑은 고딕" w:eastAsia="맑은 고딕"/>
                <w:sz w:val="18"/>
              </w:rPr>
              <w:t>외부 AI 입력 금지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Copilot Studio(사내 테넌트)</w:t>
            </w:r>
          </w:p>
        </w:tc>
      </w:tr>
      <w:tr>
        <w:tc>
          <w:tcPr>
            <w:tcW w:type="dxa" w:w="1584"/>
          </w:tcPr>
          <w:p>
            <w:r>
              <w:rPr>
                <w:rFonts w:ascii="맑은 고딕" w:hAnsi="맑은 고딕" w:eastAsia="맑은 고딕"/>
                <w:sz w:val="18"/>
              </w:rPr>
              <w:t>극비(Restricted)</w:t>
            </w:r>
          </w:p>
        </w:tc>
        <w:tc>
          <w:tcPr>
            <w:tcW w:type="dxa" w:w="2304"/>
          </w:tcPr>
          <w:p>
            <w:r>
              <w:rPr>
                <w:rFonts w:ascii="맑은 고딕" w:hAnsi="맑은 고딕" w:eastAsia="맑은 고딕"/>
                <w:sz w:val="18"/>
              </w:rPr>
              <w:t>유출 시 중대 손실</w:t>
            </w:r>
          </w:p>
        </w:tc>
        <w:tc>
          <w:tcPr>
            <w:tcW w:type="dxa" w:w="2736"/>
          </w:tcPr>
          <w:p>
            <w:r>
              <w:rPr>
                <w:rFonts w:ascii="맑은 고딕" w:hAnsi="맑은 고딕" w:eastAsia="맑은 고딕"/>
                <w:sz w:val="18"/>
              </w:rPr>
              <w:t>특허 전략, M&amp;A, 핵심 공정 레시피</w:t>
            </w:r>
          </w:p>
        </w:tc>
        <w:tc>
          <w:tcPr>
            <w:tcW w:type="dxa" w:w="1872"/>
          </w:tcPr>
          <w:p>
            <w:r>
              <w:rPr>
                <w:rFonts w:ascii="맑은 고딕" w:hAnsi="맑은 고딕" w:eastAsia="맑은 고딕"/>
                <w:sz w:val="18"/>
              </w:rPr>
              <w:t>전면 금지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8"/>
              </w:rPr>
              <w:t>에이전트 활용 불가</w:t>
            </w:r>
          </w:p>
        </w:tc>
      </w:tr>
    </w:tbl>
    <w:p>
      <w:pPr>
        <w:spacing w:before="200" w:after="80"/>
      </w:pPr>
      <w:r>
        <w:rPr>
          <w:rFonts w:ascii="맑은 고딕" w:hAnsi="맑은 고딕" w:eastAsia="맑은 고딕"/>
          <w:b/>
          <w:color w:val="B11F4B"/>
          <w:sz w:val="26"/>
        </w:rPr>
        <w:t>2. 개인정보 보호 규칙</w:t>
      </w:r>
    </w:p>
    <w:p>
      <w:pPr>
        <w:pStyle w:val="ListBullet"/>
        <w:spacing w:after="20"/>
      </w:pPr>
      <w:r>
        <w:rPr>
          <w:rFonts w:ascii="맑은 고딕" w:hAnsi="맑은 고딕" w:eastAsia="맑은 고딕"/>
          <w:sz w:val="20"/>
        </w:rPr>
        <w:t>고객·구성원의 개인정보(이름, 연락처, 사번, 주민번호 등)는 외부 생성형 AI에 입력 금지.</w:t>
      </w:r>
    </w:p>
    <w:p>
      <w:pPr>
        <w:pStyle w:val="ListBullet"/>
        <w:spacing w:after="20"/>
      </w:pPr>
      <w:r>
        <w:rPr>
          <w:rFonts w:ascii="맑은 고딕" w:hAnsi="맑은 고딕" w:eastAsia="맑은 고딕"/>
          <w:sz w:val="20"/>
        </w:rPr>
        <w:t>에이전트가 개인정보를 다룰 경우 Microsoft 365 테넌트 내(DLP 적용 환경)에서만 처리.</w:t>
      </w:r>
    </w:p>
    <w:p>
      <w:pPr>
        <w:pStyle w:val="ListBullet"/>
        <w:spacing w:after="20"/>
      </w:pPr>
      <w:r>
        <w:rPr>
          <w:rFonts w:ascii="맑은 고딕" w:hAnsi="맑은 고딕" w:eastAsia="맑은 고딕"/>
          <w:sz w:val="20"/>
        </w:rPr>
        <w:t>테스트·데모 데이터는 반드시 가명/익명 처리된 mock 데이터 사용.</w:t>
      </w:r>
    </w:p>
    <w:p>
      <w:pPr>
        <w:pStyle w:val="ListBullet"/>
        <w:spacing w:after="20"/>
      </w:pPr>
      <w:r>
        <w:rPr>
          <w:rFonts w:ascii="맑은 고딕" w:hAnsi="맑은 고딕" w:eastAsia="맑은 고딕"/>
          <w:sz w:val="20"/>
        </w:rPr>
        <w:t>개인정보가 포함된 Knowledge Source는 접근 권한을 부서 단위로 제한.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B11F4B"/>
          <w:sz w:val="26"/>
        </w:rPr>
        <w:t>3. 외부 전송 · 외부 도구 사용 규칙</w:t>
      </w:r>
    </w:p>
    <w:p>
      <w:pPr>
        <w:pStyle w:val="ListBullet"/>
        <w:spacing w:after="20"/>
      </w:pPr>
      <w:r>
        <w:rPr>
          <w:rFonts w:ascii="맑은 고딕" w:hAnsi="맑은 고딕" w:eastAsia="맑은 고딕"/>
          <w:sz w:val="20"/>
        </w:rPr>
        <w:t>대외비 이상 정보는 사외 클라우드·공개 LLM(ChatGPT 등 외부 서비스)에 입력 절대 금지.</w:t>
      </w:r>
    </w:p>
    <w:p>
      <w:pPr>
        <w:pStyle w:val="ListBullet"/>
        <w:spacing w:after="20"/>
      </w:pPr>
      <w:r>
        <w:rPr>
          <w:rFonts w:ascii="맑은 고딕" w:hAnsi="맑은 고딕" w:eastAsia="맑은 고딕"/>
          <w:sz w:val="20"/>
        </w:rPr>
        <w:t>승인된 도구: Microsoft 365 Copilot, Copilot Studio(사내 테넌트), Azure OpenAI(사내 구독).</w:t>
      </w:r>
    </w:p>
    <w:p>
      <w:pPr>
        <w:pStyle w:val="ListBullet"/>
        <w:spacing w:after="20"/>
      </w:pPr>
      <w:r>
        <w:rPr>
          <w:rFonts w:ascii="맑은 고딕" w:hAnsi="맑은 고딕" w:eastAsia="맑은 고딕"/>
          <w:sz w:val="20"/>
        </w:rPr>
        <w:t>미승인 외부 AI 도구 사용(Shadow AI) 적발 시 정보보안 위반으로 처리.</w:t>
      </w:r>
    </w:p>
    <w:p>
      <w:pPr>
        <w:pStyle w:val="ListBullet"/>
        <w:spacing w:after="20"/>
      </w:pPr>
      <w:r>
        <w:rPr>
          <w:rFonts w:ascii="맑은 고딕" w:hAnsi="맑은 고딕" w:eastAsia="맑은 고딕"/>
          <w:sz w:val="20"/>
        </w:rPr>
        <w:t>에이전트의 외부 웹 검색 기능은 내부 자료가 질의문에 포함되지 않도록 설계.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B11F4B"/>
          <w:sz w:val="26"/>
        </w:rPr>
        <w:t>4. 에이전트 설계 시 보안 체크리스트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B11F4B"/>
          </w:tcPr>
          <w:p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5184"/>
            <w:shd w:val="clear" w:fill="B11F4B"/>
          </w:tcPr>
          <w:p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확인 내용</w:t>
            </w:r>
          </w:p>
        </w:tc>
        <w:tc>
          <w:tcPr>
            <w:tcW w:type="dxa" w:w="1728"/>
            <w:shd w:val="clear" w:fill="B11F4B"/>
          </w:tcPr>
          <w:p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필수 여부</w:t>
            </w:r>
          </w:p>
        </w:tc>
      </w:tr>
      <w:tr>
        <w:tc>
          <w:tcPr>
            <w:tcW w:type="dxa" w:w="2304"/>
          </w:tcPr>
          <w:p>
            <w:r>
              <w:rPr>
                <w:rFonts w:ascii="맑은 고딕" w:hAnsi="맑은 고딕" w:eastAsia="맑은 고딕"/>
                <w:sz w:val="18"/>
              </w:rPr>
              <w:t>데이터 등급 확인</w:t>
            </w:r>
          </w:p>
        </w:tc>
        <w:tc>
          <w:tcPr>
            <w:tcW w:type="dxa" w:w="5184"/>
          </w:tcPr>
          <w:p>
            <w:r>
              <w:rPr>
                <w:rFonts w:ascii="맑은 고딕" w:hAnsi="맑은 고딕" w:eastAsia="맑은 고딕"/>
                <w:sz w:val="18"/>
              </w:rPr>
              <w:t>에이전트가 다루는 데이터의 최고 등급 식별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8"/>
              </w:rPr>
              <w:t>필수</w:t>
            </w:r>
          </w:p>
        </w:tc>
      </w:tr>
      <w:tr>
        <w:tc>
          <w:tcPr>
            <w:tcW w:type="dxa" w:w="2304"/>
          </w:tcPr>
          <w:p>
            <w:r>
              <w:rPr>
                <w:rFonts w:ascii="맑은 고딕" w:hAnsi="맑은 고딕" w:eastAsia="맑은 고딕"/>
                <w:sz w:val="18"/>
              </w:rPr>
              <w:t>입력 검증</w:t>
            </w:r>
          </w:p>
        </w:tc>
        <w:tc>
          <w:tcPr>
            <w:tcW w:type="dxa" w:w="5184"/>
          </w:tcPr>
          <w:p>
            <w:r>
              <w:rPr>
                <w:rFonts w:ascii="맑은 고딕" w:hAnsi="맑은 고딕" w:eastAsia="맑은 고딕"/>
                <w:sz w:val="18"/>
              </w:rPr>
              <w:t>사용자 입력에 극비 정보 포함 시 차단/마스킹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8"/>
              </w:rPr>
              <w:t>필수</w:t>
            </w:r>
          </w:p>
        </w:tc>
      </w:tr>
      <w:tr>
        <w:tc>
          <w:tcPr>
            <w:tcW w:type="dxa" w:w="2304"/>
          </w:tcPr>
          <w:p>
            <w:r>
              <w:rPr>
                <w:rFonts w:ascii="맑은 고딕" w:hAnsi="맑은 고딕" w:eastAsia="맑은 고딕"/>
                <w:sz w:val="18"/>
              </w:rPr>
              <w:t>권한 범위</w:t>
            </w:r>
          </w:p>
        </w:tc>
        <w:tc>
          <w:tcPr>
            <w:tcW w:type="dxa" w:w="5184"/>
          </w:tcPr>
          <w:p>
            <w:r>
              <w:rPr>
                <w:rFonts w:ascii="맑은 고딕" w:hAnsi="맑은 고딕" w:eastAsia="맑은 고딕"/>
                <w:sz w:val="18"/>
              </w:rPr>
              <w:t>Knowledge Source 접근 권한 최소화(필요 부서만)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8"/>
              </w:rPr>
              <w:t>필수</w:t>
            </w:r>
          </w:p>
        </w:tc>
      </w:tr>
      <w:tr>
        <w:tc>
          <w:tcPr>
            <w:tcW w:type="dxa" w:w="2304"/>
          </w:tcPr>
          <w:p>
            <w:r>
              <w:rPr>
                <w:rFonts w:ascii="맑은 고딕" w:hAnsi="맑은 고딕" w:eastAsia="맑은 고딕"/>
                <w:sz w:val="18"/>
              </w:rPr>
              <w:t>로그·감사</w:t>
            </w:r>
          </w:p>
        </w:tc>
        <w:tc>
          <w:tcPr>
            <w:tcW w:type="dxa" w:w="5184"/>
          </w:tcPr>
          <w:p>
            <w:r>
              <w:rPr>
                <w:rFonts w:ascii="맑은 고딕" w:hAnsi="맑은 고딕" w:eastAsia="맑은 고딕"/>
                <w:sz w:val="18"/>
              </w:rPr>
              <w:t>대화/처리 이력 로그 보관 및 주기적 점검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8"/>
              </w:rPr>
              <w:t>권장</w:t>
            </w:r>
          </w:p>
        </w:tc>
      </w:tr>
      <w:tr>
        <w:tc>
          <w:tcPr>
            <w:tcW w:type="dxa" w:w="2304"/>
          </w:tcPr>
          <w:p>
            <w:r>
              <w:rPr>
                <w:rFonts w:ascii="맑은 고딕" w:hAnsi="맑은 고딕" w:eastAsia="맑은 고딕"/>
                <w:sz w:val="18"/>
              </w:rPr>
              <w:t>출력 검토(HITL)</w:t>
            </w:r>
          </w:p>
        </w:tc>
        <w:tc>
          <w:tcPr>
            <w:tcW w:type="dxa" w:w="5184"/>
          </w:tcPr>
          <w:p>
            <w:r>
              <w:rPr>
                <w:rFonts w:ascii="맑은 고딕" w:hAnsi="맑은 고딕" w:eastAsia="맑은 고딕"/>
                <w:sz w:val="18"/>
              </w:rPr>
              <w:t>외부 공유 산출물은 담당자 승인 후 배포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8"/>
              </w:rPr>
              <w:t>필수</w:t>
            </w:r>
          </w:p>
        </w:tc>
      </w:tr>
    </w:tbl>
    <w:p>
      <w:pPr>
        <w:spacing w:before="200" w:after="80"/>
      </w:pPr>
      <w:r>
        <w:rPr>
          <w:rFonts w:ascii="맑은 고딕" w:hAnsi="맑은 고딕" w:eastAsia="맑은 고딕"/>
          <w:b/>
          <w:color w:val="B11F4B"/>
          <w:sz w:val="26"/>
        </w:rPr>
        <w:t>자주 묻는 질문 (FAQ)</w:t>
      </w:r>
    </w:p>
    <w:p>
      <w:pPr>
        <w:spacing w:after="20"/>
      </w:pPr>
      <w:r>
        <w:rPr>
          <w:rFonts w:ascii="맑은 고딕" w:hAnsi="맑은 고딕" w:eastAsia="맑은 고딕"/>
          <w:b/>
          <w:color w:val="242424"/>
          <w:sz w:val="20"/>
        </w:rPr>
        <w:t>Q. 대외비 자료를 ChatGPT에 넣어 요약해도 되나요?</w:t>
      </w:r>
    </w:p>
    <w:p>
      <w:pPr>
        <w:spacing w:after="120"/>
      </w:pPr>
      <w:r>
        <w:rPr>
          <w:rFonts w:ascii="맑은 고딕" w:hAnsi="맑은 고딕" w:eastAsia="맑은 고딕"/>
          <w:color w:val="5C5C5C"/>
          <w:sz w:val="20"/>
        </w:rPr>
        <w:t>A. 안 됩니다. 대외비 이상 정보는 외부 공개 LLM 입력이 전면 금지이며, Copilot Studio(사내 테넌트) 같은 승인 도구만 사용해야 합니다.</w:t>
      </w:r>
    </w:p>
    <w:p>
      <w:pPr>
        <w:spacing w:after="20"/>
      </w:pPr>
      <w:r>
        <w:rPr>
          <w:rFonts w:ascii="맑은 고딕" w:hAnsi="맑은 고딕" w:eastAsia="맑은 고딕"/>
          <w:b/>
          <w:color w:val="242424"/>
          <w:sz w:val="20"/>
        </w:rPr>
        <w:t>Q. 에이전트가 개인정보를 다뤄야 하면 어떻게 설계하나요?</w:t>
      </w:r>
    </w:p>
    <w:p>
      <w:pPr>
        <w:spacing w:after="120"/>
      </w:pPr>
      <w:r>
        <w:rPr>
          <w:rFonts w:ascii="맑은 고딕" w:hAnsi="맑은 고딕" w:eastAsia="맑은 고딕"/>
          <w:color w:val="5C5C5C"/>
          <w:sz w:val="20"/>
        </w:rPr>
        <w:t>A. Microsoft 365 테넌트 내 DLP 적용 환경에서만 처리하고, Knowledge Source 접근 권한을 필요한 부서로 최소화하세요.</w:t>
      </w:r>
    </w:p>
    <w:p>
      <w:pPr>
        <w:spacing w:after="20"/>
      </w:pPr>
      <w:r>
        <w:rPr>
          <w:rFonts w:ascii="맑은 고딕" w:hAnsi="맑은 고딕" w:eastAsia="맑은 고딕"/>
          <w:b/>
          <w:color w:val="242424"/>
          <w:sz w:val="20"/>
        </w:rPr>
        <w:t>Q. 내부 등급 자료로 만든 에이전트는 어떤 플랫폼이 적합한가요?</w:t>
      </w:r>
    </w:p>
    <w:p>
      <w:pPr>
        <w:spacing w:after="120"/>
      </w:pPr>
      <w:r>
        <w:rPr>
          <w:rFonts w:ascii="맑은 고딕" w:hAnsi="맑은 고딕" w:eastAsia="맑은 고딕"/>
          <w:color w:val="5C5C5C"/>
          <w:sz w:val="20"/>
        </w:rPr>
        <w:t>A. 내부 등급은 사내 승인 AI(M365 Copilot, Agent Builder)에서 활용 가능합니다. 대외비가 섞이면 Copilot Studio로 올려야 합니다.</w:t>
      </w:r>
    </w:p>
    <w:p>
      <w:pPr>
        <w:spacing w:after="20"/>
      </w:pPr>
      <w:r>
        <w:rPr>
          <w:rFonts w:ascii="맑은 고딕" w:hAnsi="맑은 고딕" w:eastAsia="맑은 고딕"/>
          <w:b/>
          <w:color w:val="242424"/>
          <w:sz w:val="20"/>
        </w:rPr>
        <w:t>Q. 외부 공유용 결과물은 바로 보내도 되나요?</w:t>
      </w:r>
    </w:p>
    <w:p>
      <w:pPr>
        <w:spacing w:after="120"/>
      </w:pPr>
      <w:r>
        <w:rPr>
          <w:rFonts w:ascii="맑은 고딕" w:hAnsi="맑은 고딕" w:eastAsia="맑은 고딕"/>
          <w:color w:val="5C5C5C"/>
          <w:sz w:val="20"/>
        </w:rPr>
        <w:t>A. 아니요. 외부로 나가는 산출물은 담당자 검토(HITL) 승인 후 배포해야 합니다.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B11F4B"/>
          <w:sz w:val="26"/>
        </w:rPr>
        <w:t>5. 위반 시 조치</w:t>
      </w:r>
    </w:p>
    <w:p>
      <w:pPr>
        <w:spacing w:after="40"/>
      </w:pPr>
      <w:r>
        <w:rPr>
          <w:rFonts w:ascii="맑은 고딕" w:hAnsi="맑은 고딕" w:eastAsia="맑은 고딕"/>
          <w:sz w:val="21"/>
        </w:rPr>
        <w:t>보안 규정 위반 사항 발견 시 즉시 정보보안팀(security@example.com)에 통보하며, 위반 수준에 따라 에이전트 사용 중단·재설계·징계 절차가 적용됩니다.</w:t>
      </w:r>
    </w:p>
    <w:p/>
    <w:p>
      <w:r>
        <w:rPr>
          <w:rFonts w:ascii="맑은 고딕" w:hAnsi="맑은 고딕" w:eastAsia="맑은 고딕"/>
          <w:i/>
          <w:color w:val="5C5C5C"/>
          <w:sz w:val="16"/>
        </w:rPr>
        <w:t>※ 본 문서는 A4A 핸즈온 실습용 mock 데이터입니다. 실제 조직의 규정·시스템 정보가 아니며 교육 목적으로만 사용합니다.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24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