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11F4B"/>
          <w:sz w:val="20"/>
        </w:rPr>
        <w:t>[MarketCase_Knowledge]</w:t>
      </w:r>
    </w:p>
    <w:p>
      <w:r>
        <w:rPr>
          <w:b/>
          <w:color w:val="242424"/>
          <w:sz w:val="40"/>
        </w:rPr>
        <w:t>사내 AI Market 우수 · 실패 사례집</w:t>
      </w:r>
    </w:p>
    <w:p>
      <w:r>
        <w:rPr>
          <w:color w:val="5C5C5C"/>
          <w:sz w:val="22"/>
        </w:rPr>
        <w:t>에이전트 설계 시 참고할 케이스와 교훈(Lessons Learned)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5F5F5"/>
          </w:tcPr>
          <w:p>
            <w:r>
              <w:rPr>
                <w:b/>
                <w:sz w:val="17"/>
              </w:rPr>
              <w:t>주관</w:t>
            </w:r>
          </w:p>
        </w:tc>
        <w:tc>
          <w:tcPr>
            <w:tcW w:type="dxa" w:w="2160"/>
            <w:shd w:val="clear" w:fill="F5F5F5"/>
          </w:tcPr>
          <w:p>
            <w:r>
              <w:rPr>
                <w:b/>
                <w:sz w:val="17"/>
              </w:rPr>
              <w:t>최종 수정</w:t>
            </w:r>
          </w:p>
        </w:tc>
        <w:tc>
          <w:tcPr>
            <w:tcW w:type="dxa" w:w="2160"/>
            <w:shd w:val="clear" w:fill="F5F5F5"/>
          </w:tcPr>
          <w:p>
            <w:r>
              <w:rPr>
                <w:b/>
                <w:sz w:val="17"/>
              </w:rPr>
              <w:t>보안등급</w:t>
            </w:r>
          </w:p>
        </w:tc>
        <w:tc>
          <w:tcPr>
            <w:tcW w:type="dxa" w:w="2160"/>
            <w:shd w:val="clear" w:fill="F5F5F5"/>
          </w:tcPr>
          <w:p>
            <w:r>
              <w:rPr>
                <w:b/>
                <w:sz w:val="17"/>
              </w:rPr>
              <w:t>용도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People &amp; AI팀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2026-05-31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내부용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Copilot Studio Knowledge Source</w:t>
            </w:r>
          </w:p>
        </w:tc>
      </w:tr>
    </w:tbl>
    <w:p/>
    <w:p>
      <w:pPr>
        <w:spacing w:before="200" w:after="80"/>
      </w:pPr>
      <w:r>
        <w:rPr>
          <w:b/>
          <w:color w:val="B11F4B"/>
          <w:sz w:val="26"/>
        </w:rPr>
        <w:t>1. 우수 사례 (Best Practices)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fill="B11F4B"/>
          </w:tcPr>
          <w:p>
            <w:r>
              <w:rPr>
                <w:b/>
                <w:color w:val="FFFFFF"/>
                <w:sz w:val="18"/>
              </w:rPr>
              <w:t>사례</w:t>
            </w:r>
          </w:p>
        </w:tc>
        <w:tc>
          <w:tcPr>
            <w:tcW w:type="dxa" w:w="1872"/>
            <w:shd w:val="clear" w:fill="B11F4B"/>
          </w:tcPr>
          <w:p>
            <w:r>
              <w:rPr>
                <w:b/>
                <w:color w:val="FFFFFF"/>
                <w:sz w:val="18"/>
              </w:rPr>
              <w:t>부서</w:t>
            </w:r>
          </w:p>
        </w:tc>
        <w:tc>
          <w:tcPr>
            <w:tcW w:type="dxa" w:w="3456"/>
            <w:shd w:val="clear" w:fill="B11F4B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584"/>
            <w:shd w:val="clear" w:fill="B11F4B"/>
          </w:tcPr>
          <w:p>
            <w:r>
              <w:rPr>
                <w:b/>
                <w:color w:val="FFFFFF"/>
                <w:sz w:val="18"/>
              </w:rPr>
              <w:t>성과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MI 자동화 에이전트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마케팅본부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시장정보 자동 수집·요약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리서치 4시간 → 30분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계약 검토 어시스턴트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경영지원본부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표준계약 대비 위험조항 자동 검출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법무 검토 리드타임 40%↓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주간보고 생성기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생산본부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공정 실적 데이터 → 보고서 초안 자동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보고서 작성 3시간 절감</w:t>
            </w:r>
          </w:p>
        </w:tc>
      </w:tr>
    </w:tbl>
    <w:p>
      <w:pPr>
        <w:spacing w:after="40"/>
      </w:pPr>
      <w:r>
        <w:t>공통 성공 요인: 명확한 단일 업무 정의, 사내 데이터 그라운딩, 담당자 검토(HITL) 포함, 반복 빈도가 높은 업무 선정.</w:t>
      </w:r>
    </w:p>
    <w:p>
      <w:pPr>
        <w:spacing w:before="200" w:after="80"/>
      </w:pPr>
      <w:r>
        <w:rPr>
          <w:b/>
          <w:color w:val="B11F4B"/>
          <w:sz w:val="26"/>
        </w:rPr>
        <w:t>2. 실패 사례 (Anti-Patterns)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B11F4B"/>
          </w:tcPr>
          <w:p>
            <w:r>
              <w:rPr>
                <w:b/>
                <w:color w:val="FFFFFF"/>
                <w:sz w:val="18"/>
              </w:rPr>
              <w:t>사례</w:t>
            </w:r>
          </w:p>
        </w:tc>
        <w:tc>
          <w:tcPr>
            <w:tcW w:type="dxa" w:w="2304"/>
            <w:shd w:val="clear" w:fill="B11F4B"/>
          </w:tcPr>
          <w:p>
            <w:r>
              <w:rPr>
                <w:b/>
                <w:color w:val="FFFFFF"/>
                <w:sz w:val="18"/>
              </w:rPr>
              <w:t>문제</w:t>
            </w:r>
          </w:p>
        </w:tc>
        <w:tc>
          <w:tcPr>
            <w:tcW w:type="dxa" w:w="2736"/>
            <w:shd w:val="clear" w:fill="B11F4B"/>
          </w:tcPr>
          <w:p>
            <w:r>
              <w:rPr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2016"/>
            <w:shd w:val="clear" w:fill="B11F4B"/>
          </w:tcPr>
          <w:p>
            <w:r>
              <w:rPr>
                <w:b/>
                <w:color w:val="FFFFFF"/>
                <w:sz w:val="18"/>
              </w:rPr>
              <w:t>교훈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좀비 에이전트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제작 후 미사용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실제 업무 고충과 무관, 범위 과대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작은 반복 업무부터 시작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Shadow AI 유출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외부 AI에 대외비 입력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보안 규정 미인지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승인 도구·등급 사전 확인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환각 보고서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잘못된 수치 생성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그라운딩 없는 자유생성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Knowledge Source 필수 연결</w:t>
            </w:r>
          </w:p>
        </w:tc>
      </w:tr>
    </w:tbl>
    <w:p>
      <w:pPr>
        <w:spacing w:before="200" w:after="80"/>
      </w:pPr>
      <w:r>
        <w:rPr>
          <w:b/>
          <w:color w:val="B11F4B"/>
          <w:sz w:val="26"/>
        </w:rPr>
        <w:t>3. 설계 시 핵심 교훈 (Lessons Learned)</w:t>
      </w:r>
    </w:p>
    <w:p>
      <w:pPr>
        <w:pStyle w:val="ListBullet"/>
        <w:spacing w:after="20"/>
      </w:pPr>
      <w:r>
        <w:t>범위는 좁게: '모든 것을 하는 에이전트'보다 한 가지 업무를 확실히.</w:t>
      </w:r>
    </w:p>
    <w:p>
      <w:pPr>
        <w:pStyle w:val="ListBullet"/>
        <w:spacing w:after="20"/>
      </w:pPr>
      <w:r>
        <w:t>데이터가 핵심: 사내 Knowledge Source 없이는 품질·신뢰 확보 불가.</w:t>
      </w:r>
    </w:p>
    <w:p>
      <w:pPr>
        <w:pStyle w:val="ListBullet"/>
        <w:spacing w:after="20"/>
      </w:pPr>
      <w:r>
        <w:t>사람이 마지막 관문: 외부 공유·중요 결정은 반드시 HITL 승인.</w:t>
      </w:r>
    </w:p>
    <w:p>
      <w:pPr>
        <w:pStyle w:val="ListBullet"/>
        <w:spacing w:after="20"/>
      </w:pPr>
      <w:r>
        <w:t>측정 가능하게: 절감 시간·처리 건수 등 성과 지표를 설계 단계부터 정의.</w:t>
      </w:r>
    </w:p>
    <w:p>
      <w:pPr>
        <w:pStyle w:val="ListBullet"/>
        <w:spacing w:after="20"/>
      </w:pPr>
      <w:r>
        <w:t>보안 먼저: 데이터 등급과 플랫폼 적합성을 가장 먼저 확인.</w:t>
      </w:r>
    </w:p>
    <w:p>
      <w:pPr>
        <w:spacing w:before="200" w:after="80"/>
      </w:pPr>
      <w:r>
        <w:rPr>
          <w:b/>
          <w:color w:val="B11F4B"/>
          <w:sz w:val="26"/>
        </w:rPr>
        <w:t>4. AI Market 등록 기준</w:t>
      </w:r>
    </w:p>
    <w:p>
      <w:pPr>
        <w:spacing w:after="40"/>
      </w:pPr>
      <w:r>
        <w:t>에이전트를 사내 AI Market에 등록하려면 ①업무 정의서 ②Knowledge Source 명세 ③테스트 시나리오 ④보안 체크리스트 통과 결과를 포함한 제작 패키지가 필요합니다.</w:t>
      </w:r>
    </w:p>
    <w:p/>
    <w:p>
      <w:r>
        <w:rPr>
          <w:i/>
          <w:color w:val="5C5C5C"/>
          <w:sz w:val="16"/>
        </w:rPr>
        <w:t>※ 본 문서는 A4A 핸즈온 실습용 mock 데이터입니다. 실제 조직의 규정·시스템 정보가 아니며 교육 목적으로만 사용합니다.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