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1F4B"/>
          <w:sz w:val="20"/>
        </w:rPr>
        <w:t>[Security_Rule]</w:t>
      </w:r>
    </w:p>
    <w:p>
      <w:r>
        <w:rPr>
          <w:b/>
          <w:color w:val="242424"/>
          <w:sz w:val="40"/>
        </w:rPr>
        <w:t>생성형 AI · 에이전트 정보보안 가이드라인</w:t>
      </w:r>
    </w:p>
    <w:p>
      <w:r>
        <w:rPr>
          <w:color w:val="5C5C5C"/>
          <w:sz w:val="22"/>
        </w:rPr>
        <w:t>에이전트 설계 시 반드시 준수해야 할 데이터 보안 규정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주관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최종 수정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보안등급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DT실 정보보안팀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2026-05-30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내부용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Copilot Studio Knowledge Source</w:t>
            </w:r>
          </w:p>
        </w:tc>
      </w:tr>
    </w:tbl>
    <w:p/>
    <w:p>
      <w:pPr>
        <w:spacing w:before="200" w:after="80"/>
      </w:pPr>
      <w:r>
        <w:rPr>
          <w:b/>
          <w:color w:val="B11F4B"/>
          <w:sz w:val="26"/>
        </w:rPr>
        <w:t>1. 정보 등급 분류 체계</w:t>
      </w:r>
    </w:p>
    <w:p>
      <w:pPr>
        <w:spacing w:after="40"/>
      </w:pPr>
      <w:r>
        <w:t>모든 사내 데이터는 아래 4단계로 분류되며, 등급에 따라 생성형 AI·에이전트 활용 범위가 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B11F4B"/>
          </w:tcPr>
          <w:p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736"/>
            <w:shd w:val="clear" w:fill="B11F4B"/>
          </w:tcPr>
          <w:p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3168"/>
            <w:shd w:val="clear" w:fill="B11F4B"/>
          </w:tcPr>
          <w:p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016"/>
            <w:shd w:val="clear" w:fill="B11F4B"/>
          </w:tcPr>
          <w:p>
            <w:r>
              <w:rPr>
                <w:b/>
                <w:color w:val="FFFFFF"/>
                <w:sz w:val="18"/>
              </w:rPr>
              <w:t>생성형 AI 입력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공개(Public)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외부 공개 가능 정보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보도자료, 홈페이지 게시물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허용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내부(Internal)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사내 한정 정보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내부 공지, 일반 회의록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사내 승인 AI만 허용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대외비(Confidential)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유출 시 경영 영향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미공개 실적, 가격 정책, R&amp;D 진행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외부 AI 입력 금지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극비(Restricted)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유출 시 중대 손실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특허 전략, M&amp;A, 핵심 공정 레시피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전면 금지</w:t>
            </w:r>
          </w:p>
        </w:tc>
      </w:tr>
    </w:tbl>
    <w:p>
      <w:pPr>
        <w:spacing w:before="200" w:after="80"/>
      </w:pPr>
      <w:r>
        <w:rPr>
          <w:b/>
          <w:color w:val="B11F4B"/>
          <w:sz w:val="26"/>
        </w:rPr>
        <w:t>2. 개인정보 보호 규칙</w:t>
      </w:r>
    </w:p>
    <w:p>
      <w:pPr>
        <w:pStyle w:val="ListBullet"/>
        <w:spacing w:after="20"/>
      </w:pPr>
      <w:r>
        <w:t>고객·구성원의 개인정보(이름, 연락처, 사번, 주민번호 등)는 외부 생성형 AI에 입력 금지.</w:t>
      </w:r>
    </w:p>
    <w:p>
      <w:pPr>
        <w:pStyle w:val="ListBullet"/>
        <w:spacing w:after="20"/>
      </w:pPr>
      <w:r>
        <w:t>에이전트가 개인정보를 다룰 경우 Microsoft 365 테넌트 내(DLP 적용 환경)에서만 처리.</w:t>
      </w:r>
    </w:p>
    <w:p>
      <w:pPr>
        <w:pStyle w:val="ListBullet"/>
        <w:spacing w:after="20"/>
      </w:pPr>
      <w:r>
        <w:t>테스트·데모 데이터는 반드시 가명/익명 처리된 mock 데이터 사용.</w:t>
      </w:r>
    </w:p>
    <w:p>
      <w:pPr>
        <w:pStyle w:val="ListBullet"/>
        <w:spacing w:after="20"/>
      </w:pPr>
      <w:r>
        <w:t>개인정보가 포함된 Knowledge Source는 접근 권한을 부서 단위로 제한.</w:t>
      </w:r>
    </w:p>
    <w:p>
      <w:pPr>
        <w:spacing w:before="200" w:after="80"/>
      </w:pPr>
      <w:r>
        <w:rPr>
          <w:b/>
          <w:color w:val="B11F4B"/>
          <w:sz w:val="26"/>
        </w:rPr>
        <w:t>3. 외부 전송 · 외부 도구 사용 규칙</w:t>
      </w:r>
    </w:p>
    <w:p>
      <w:pPr>
        <w:pStyle w:val="ListBullet"/>
        <w:spacing w:after="20"/>
      </w:pPr>
      <w:r>
        <w:t>대외비 이상 정보는 사외 클라우드·공개 LLM(ChatGPT 등 외부 서비스)에 입력 절대 금지.</w:t>
      </w:r>
    </w:p>
    <w:p>
      <w:pPr>
        <w:pStyle w:val="ListBullet"/>
        <w:spacing w:after="20"/>
      </w:pPr>
      <w:r>
        <w:t>승인된 도구: Microsoft 365 Copilot, Copilot Studio(사내 테넌트), Azure OpenAI(사내 구독).</w:t>
      </w:r>
    </w:p>
    <w:p>
      <w:pPr>
        <w:pStyle w:val="ListBullet"/>
        <w:spacing w:after="20"/>
      </w:pPr>
      <w:r>
        <w:t>미승인 외부 AI 도구 사용(Shadow AI) 적발 시 정보보안 위반으로 처리.</w:t>
      </w:r>
    </w:p>
    <w:p>
      <w:pPr>
        <w:pStyle w:val="ListBullet"/>
        <w:spacing w:after="20"/>
      </w:pPr>
      <w:r>
        <w:t>에이전트의 외부 웹 검색 기능은 내부 자료가 질의문에 포함되지 않도록 설계.</w:t>
      </w:r>
    </w:p>
    <w:p>
      <w:pPr>
        <w:spacing w:before="200" w:after="80"/>
      </w:pPr>
      <w:r>
        <w:rPr>
          <w:b/>
          <w:color w:val="B11F4B"/>
          <w:sz w:val="26"/>
        </w:rPr>
        <w:t>4. 에이전트 설계 시 보안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B11F4B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fill="B11F4B"/>
          </w:tcPr>
          <w:p>
            <w:r>
              <w:rPr>
                <w:b/>
                <w:color w:val="FFFFFF"/>
                <w:sz w:val="18"/>
              </w:rPr>
              <w:t>확인 내용</w:t>
            </w:r>
          </w:p>
        </w:tc>
        <w:tc>
          <w:tcPr>
            <w:tcW w:type="dxa" w:w="1728"/>
            <w:shd w:val="clear" w:fill="B11F4B"/>
          </w:tcPr>
          <w:p>
            <w:r>
              <w:rPr>
                <w:b/>
                <w:color w:val="FFFFFF"/>
                <w:sz w:val="18"/>
              </w:rPr>
              <w:t>필수 여부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데이터 등급 확인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에이전트가 다루는 데이터의 최고 등급 식별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입력 검증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사용자 입력에 극비 정보 포함 시 차단/마스킹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권한 범위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Knowledge Source 접근 권한 최소화(필요 부서만)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로그·감사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대화/처리 이력 로그 보관 및 주기적 점검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권장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출력 검토(HITL)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외부 공유 산출물은 담당자 승인 후 배포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필수</w:t>
            </w:r>
          </w:p>
        </w:tc>
      </w:tr>
    </w:tbl>
    <w:p>
      <w:pPr>
        <w:spacing w:before="200" w:after="80"/>
      </w:pPr>
      <w:r>
        <w:rPr>
          <w:b/>
          <w:color w:val="B11F4B"/>
          <w:sz w:val="26"/>
        </w:rPr>
        <w:t>5. 위반 시 조치</w:t>
      </w:r>
    </w:p>
    <w:p>
      <w:pPr>
        <w:spacing w:after="40"/>
      </w:pPr>
      <w:r>
        <w:t>보안 규정 위반 사항 발견 시 즉시 정보보안팀(security@skchemicals.example)에 통보하며, 위반 수준에 따라 에이전트 사용 중단·재설계·징계 절차가 적용됩니다.</w:t>
      </w:r>
    </w:p>
    <w:p/>
    <w:p>
      <w:r>
        <w:rPr>
          <w:i/>
          <w:color w:val="5C5C5C"/>
          <w:sz w:val="16"/>
        </w:rPr>
        <w:t>※ 본 문서는 A4A 핸즈온 실습용 mock 데이터입니다. 실제 조직의 규정·시스템 정보가 아니며 교육 목적으로만 사용합니다.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