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uto" w:line="268" w:before="0" w:after="0"/>
        <w:ind w:left="0" w:right="0" w:hanging="0"/>
        <w:rPr/>
      </w:pPr>
      <w:r>
        <w:rPr>
          <w:rStyle w:val="StrongEmphasis"/>
          <w:rFonts w:ascii="Liberation Serif" w:hAnsi="Liberation Serif"/>
          <w:b/>
          <w:i w:val="false"/>
          <w:caps w:val="false"/>
          <w:smallCaps w:val="false"/>
          <w:color w:val="333333"/>
          <w:spacing w:val="0"/>
          <w:sz w:val="20"/>
          <w:szCs w:val="20"/>
        </w:rPr>
        <w:t>Formatting references</w:t>
      </w:r>
    </w:p>
    <w:p>
      <w:pPr>
        <w:pStyle w:val="TextBody"/>
        <w:widowControl/>
        <w:pBdr/>
        <w:spacing w:lineRule="auto" w:line="268" w:before="0" w:after="0"/>
        <w:ind w:left="0" w:right="0" w:hanging="0"/>
        <w:rPr/>
      </w:pPr>
      <w:r>
        <w:rPr>
          <w:rFonts w:ascii="Liberation Serif" w:hAnsi="Liberation Serif"/>
          <w:b w:val="false"/>
          <w:i w:val="false"/>
          <w:caps w:val="false"/>
          <w:smallCaps w:val="false"/>
          <w:color w:val="333333"/>
          <w:spacing w:val="0"/>
          <w:sz w:val="20"/>
          <w:szCs w:val="20"/>
        </w:rPr>
        <w:t>PLOS uses the reference style outlined by the International Committee of Medical Journal Editors (ICMJE), also referred to as the “Vancouver” style. Example formats are listed below. Additional examples are in the </w:t>
      </w:r>
      <w:hyperlink r:id="rId2">
        <w:r>
          <w:rPr>
            <w:rStyle w:val="InternetLink"/>
            <w:rFonts w:ascii="Liberation Serif" w:hAnsi="Liberation Serif"/>
            <w:b w:val="false"/>
            <w:i w:val="false"/>
            <w:caps w:val="false"/>
            <w:smallCaps w:val="false"/>
            <w:strike w:val="false"/>
            <w:dstrike w:val="false"/>
            <w:color w:val="3C63AF"/>
            <w:spacing w:val="0"/>
            <w:sz w:val="20"/>
            <w:szCs w:val="20"/>
            <w:u w:val="none"/>
            <w:effect w:val="none"/>
          </w:rPr>
          <w:t>ICMJE sample references</w:t>
        </w:r>
      </w:hyperlink>
      <w:r>
        <w:rPr>
          <w:rFonts w:ascii="Liberation Serif" w:hAnsi="Liberation Serif"/>
          <w:b w:val="false"/>
          <w:i w:val="false"/>
          <w:caps w:val="false"/>
          <w:smallCaps w:val="false"/>
          <w:color w:val="333333"/>
          <w:spacing w:val="0"/>
          <w:sz w:val="20"/>
          <w:szCs w:val="20"/>
        </w:rPr>
        <w:t>.</w:t>
      </w:r>
    </w:p>
    <w:p>
      <w:pPr>
        <w:pStyle w:val="TextBody"/>
        <w:widowControl/>
        <w:spacing w:lineRule="auto" w:line="268"/>
        <w:ind w:left="0" w:right="0" w:hanging="0"/>
        <w:rPr/>
      </w:pPr>
      <w:r>
        <w:rPr>
          <w:rFonts w:ascii="Liberation Serif" w:hAnsi="Liberation Serif"/>
          <w:b w:val="false"/>
          <w:i w:val="false"/>
          <w:caps w:val="false"/>
          <w:smallCaps w:val="false"/>
          <w:color w:val="333333"/>
          <w:spacing w:val="0"/>
          <w:sz w:val="20"/>
          <w:szCs w:val="20"/>
          <w:highlight w:val="white"/>
        </w:rPr>
        <w:t>A reference management tool, EndNote, offers a current </w:t>
      </w:r>
      <w:hyperlink r:id="rId3">
        <w:r>
          <w:rPr>
            <w:rStyle w:val="InternetLink"/>
            <w:rFonts w:ascii="Liberation Serif" w:hAnsi="Liberation Serif"/>
            <w:b w:val="false"/>
            <w:i w:val="false"/>
            <w:caps w:val="false"/>
            <w:smallCaps w:val="false"/>
            <w:strike w:val="false"/>
            <w:dstrike w:val="false"/>
            <w:color w:val="3C63AF"/>
            <w:spacing w:val="0"/>
            <w:sz w:val="20"/>
            <w:szCs w:val="20"/>
            <w:highlight w:val="white"/>
            <w:u w:val="none"/>
            <w:effect w:val="none"/>
          </w:rPr>
          <w:t>style file</w:t>
        </w:r>
      </w:hyperlink>
      <w:r>
        <w:rPr>
          <w:rFonts w:ascii="Liberation Serif" w:hAnsi="Liberation Serif"/>
          <w:b w:val="false"/>
          <w:i w:val="false"/>
          <w:caps w:val="false"/>
          <w:smallCaps w:val="false"/>
          <w:color w:val="333333"/>
          <w:spacing w:val="0"/>
          <w:sz w:val="20"/>
          <w:szCs w:val="20"/>
          <w:highlight w:val="white"/>
        </w:rPr>
        <w:t> that can assist you with the formatting of your references. If you have problems with any reference management program, please contact the source company's technical support.</w:t>
      </w:r>
    </w:p>
    <w:p>
      <w:pPr>
        <w:pStyle w:val="TextBody"/>
        <w:widowControl/>
        <w:pBdr/>
        <w:spacing w:lineRule="auto" w:line="268" w:before="0" w:after="0"/>
        <w:ind w:left="0" w:right="0" w:hanging="0"/>
        <w:rPr/>
      </w:pPr>
      <w:r>
        <w:rPr>
          <w:rFonts w:ascii="Liberation Serif" w:hAnsi="Liberation Serif"/>
          <w:b w:val="false"/>
          <w:i w:val="false"/>
          <w:caps w:val="false"/>
          <w:smallCaps w:val="false"/>
          <w:color w:val="333333"/>
          <w:spacing w:val="0"/>
          <w:sz w:val="20"/>
          <w:szCs w:val="20"/>
        </w:rPr>
        <w:t>Journal name abbreviations should be those found in the </w:t>
      </w:r>
      <w:hyperlink r:id="rId4">
        <w:r>
          <w:rPr>
            <w:rStyle w:val="InternetLink"/>
            <w:rFonts w:ascii="Liberation Serif" w:hAnsi="Liberation Serif"/>
            <w:b w:val="false"/>
            <w:i w:val="false"/>
            <w:caps w:val="false"/>
            <w:smallCaps w:val="false"/>
            <w:strike w:val="false"/>
            <w:dstrike w:val="false"/>
            <w:color w:val="3C63AF"/>
            <w:spacing w:val="0"/>
            <w:sz w:val="20"/>
            <w:szCs w:val="20"/>
            <w:u w:val="none"/>
            <w:effect w:val="none"/>
          </w:rPr>
          <w:t>National Center for Biotechnology Information (NCBI) databases</w:t>
        </w:r>
      </w:hyperlink>
      <w:r>
        <w:rPr>
          <w:rFonts w:ascii="Liberation Serif" w:hAnsi="Liberation Serif"/>
          <w:b w:val="false"/>
          <w:i w:val="false"/>
          <w:caps w:val="false"/>
          <w:smallCaps w:val="false"/>
          <w:color w:val="333333"/>
          <w:spacing w:val="0"/>
          <w:sz w:val="20"/>
          <w:szCs w:val="20"/>
        </w:rPr>
        <w:t>. </w:t>
      </w:r>
    </w:p>
    <w:tbl>
      <w:tblPr>
        <w:tblW w:w="9972" w:type="dxa"/>
        <w:jc w:val="left"/>
        <w:tblInd w:w="0" w:type="dxa"/>
        <w:tblBorders>
          <w:bottom w:val="single" w:sz="2" w:space="0" w:color="333333"/>
          <w:insideH w:val="single" w:sz="2" w:space="0" w:color="333333"/>
        </w:tblBorders>
        <w:tblCellMar>
          <w:top w:w="0" w:type="dxa"/>
          <w:left w:w="0" w:type="dxa"/>
          <w:bottom w:w="28" w:type="dxa"/>
          <w:right w:w="0" w:type="dxa"/>
        </w:tblCellMar>
      </w:tblPr>
      <w:tblGrid>
        <w:gridCol w:w="2369"/>
        <w:gridCol w:w="7603"/>
      </w:tblGrid>
      <w:tr>
        <w:trPr>
          <w:tblHeader w:val="true"/>
        </w:trPr>
        <w:tc>
          <w:tcPr>
            <w:tcW w:w="2369" w:type="dxa"/>
            <w:tcBorders>
              <w:bottom w:val="single" w:sz="2" w:space="0" w:color="333333"/>
              <w:insideH w:val="single" w:sz="2" w:space="0" w:color="333333"/>
            </w:tcBorders>
            <w:shd w:fill="auto" w:val="clear"/>
            <w:vAlign w:val="center"/>
          </w:tcPr>
          <w:p>
            <w:pPr>
              <w:pStyle w:val="TableHeading"/>
              <w:spacing w:lineRule="auto" w:line="268" w:before="0" w:after="0"/>
              <w:ind w:left="0" w:right="0" w:hanging="0"/>
              <w:jc w:val="left"/>
              <w:rPr>
                <w:rFonts w:ascii="Liberation Serif" w:hAnsi="Liberation Serif"/>
                <w:b/>
                <w:color w:val="333333"/>
                <w:sz w:val="20"/>
                <w:szCs w:val="20"/>
              </w:rPr>
            </w:pPr>
            <w:r>
              <w:rPr>
                <w:rFonts w:ascii="Liberation Serif" w:hAnsi="Liberation Serif"/>
                <w:b/>
                <w:color w:val="333333"/>
                <w:sz w:val="20"/>
                <w:szCs w:val="20"/>
              </w:rPr>
              <w:t>Source</w:t>
            </w:r>
          </w:p>
        </w:tc>
        <w:tc>
          <w:tcPr>
            <w:tcW w:w="7603" w:type="dxa"/>
            <w:tcBorders>
              <w:bottom w:val="single" w:sz="2" w:space="0" w:color="333333"/>
              <w:insideH w:val="single" w:sz="2" w:space="0" w:color="333333"/>
            </w:tcBorders>
            <w:shd w:fill="auto" w:val="clear"/>
            <w:vAlign w:val="center"/>
          </w:tcPr>
          <w:p>
            <w:pPr>
              <w:pStyle w:val="TableHeading"/>
              <w:spacing w:lineRule="auto" w:line="268" w:before="0" w:after="0"/>
              <w:ind w:left="0" w:right="0" w:hanging="0"/>
              <w:jc w:val="left"/>
              <w:rPr>
                <w:rFonts w:ascii="Liberation Serif" w:hAnsi="Liberation Serif"/>
                <w:b/>
                <w:color w:val="333333"/>
                <w:sz w:val="20"/>
                <w:szCs w:val="20"/>
              </w:rPr>
            </w:pPr>
            <w:r>
              <w:rPr>
                <w:rFonts w:ascii="Liberation Serif" w:hAnsi="Liberation Serif"/>
                <w:b/>
                <w:color w:val="333333"/>
                <w:sz w:val="20"/>
                <w:szCs w:val="20"/>
              </w:rPr>
              <w:t>Format</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Published articles</w:t>
            </w:r>
          </w:p>
        </w:tc>
        <w:tc>
          <w:tcPr>
            <w:tcW w:w="7603" w:type="dxa"/>
            <w:tcBorders>
              <w:bottom w:val="single" w:sz="2" w:space="0" w:color="CCCCCC"/>
              <w:insideH w:val="single" w:sz="2" w:space="0" w:color="CCCCCC"/>
            </w:tcBorders>
            <w:shd w:fill="auto" w:val="clear"/>
            <w:vAlign w:val="center"/>
          </w:tcPr>
          <w:p>
            <w:pPr>
              <w:pStyle w:val="TableContents"/>
              <w:pBdr/>
              <w:spacing w:lineRule="auto" w:line="268" w:before="0" w:after="0"/>
              <w:ind w:left="0" w:right="0" w:hanging="0"/>
              <w:jc w:val="left"/>
              <w:rPr/>
            </w:pPr>
            <w:r>
              <w:rPr>
                <w:rFonts w:ascii="Liberation Serif" w:hAnsi="Liberation Serif"/>
                <w:b w:val="false"/>
                <w:color w:val="333333"/>
                <w:sz w:val="20"/>
                <w:szCs w:val="20"/>
              </w:rPr>
              <w:t>Hou WR, Hou YL, Wu GF, Song Y, Su XL, Sun B, et al. cDNA, genomic sequence cloning and overexpression of ribosomal protein gene L9 (rpL9) of the giant panda (</w:t>
            </w:r>
            <w:r>
              <w:rPr>
                <w:rStyle w:val="Emphasis"/>
                <w:rFonts w:ascii="Liberation Serif" w:hAnsi="Liberation Serif"/>
                <w:b w:val="false"/>
                <w:i/>
                <w:color w:val="333333"/>
                <w:sz w:val="20"/>
                <w:szCs w:val="20"/>
              </w:rPr>
              <w:t>Ailuropoda melanoleuca</w:t>
            </w:r>
            <w:r>
              <w:rPr>
                <w:rFonts w:ascii="Liberation Serif" w:hAnsi="Liberation Serif"/>
                <w:b w:val="false"/>
                <w:color w:val="333333"/>
                <w:sz w:val="20"/>
                <w:szCs w:val="20"/>
              </w:rPr>
              <w:t>). Genet Mol Res. 2011;10: 1576-1588.</w:t>
            </w:r>
          </w:p>
          <w:p>
            <w:pPr>
              <w:pStyle w:val="TableContents"/>
              <w:pBdr/>
              <w:spacing w:lineRule="auto" w:line="268" w:before="0" w:after="0"/>
              <w:ind w:left="0" w:right="0" w:hanging="0"/>
              <w:jc w:val="left"/>
              <w:rPr/>
            </w:pPr>
            <w:r>
              <w:rPr>
                <w:rFonts w:ascii="Liberation Serif" w:hAnsi="Liberation Serif"/>
                <w:b w:val="false"/>
                <w:color w:val="333333"/>
                <w:sz w:val="20"/>
                <w:szCs w:val="20"/>
              </w:rPr>
              <w:t>Devaraju P, Gulati R, Antony PT, Mithun CB, Negi VS. Susceptibility to SLE in South Indian Tamils may be influenced by genetic selection pressure on TLR2 and TLR9 genes. Mol Immunol. 2014 Nov 22. pii: S0161-5890(14)00313-7. doi: 10.1016/j.molimm.2014.11.005.</w:t>
            </w:r>
          </w:p>
          <w:p>
            <w:pPr>
              <w:pStyle w:val="TableContents"/>
              <w:pBdr/>
              <w:spacing w:lineRule="auto" w:line="268" w:before="0" w:after="0"/>
              <w:ind w:left="0" w:right="0" w:hanging="0"/>
              <w:jc w:val="left"/>
              <w:rPr/>
            </w:pPr>
            <w:r>
              <w:rPr>
                <w:rFonts w:ascii="Liberation Serif" w:hAnsi="Liberation Serif"/>
                <w:color w:val="333333"/>
                <w:sz w:val="20"/>
                <w:szCs w:val="20"/>
              </w:rPr>
              <w:br/>
            </w:r>
            <w:r>
              <w:rPr>
                <w:rStyle w:val="Emphasis"/>
                <w:rFonts w:ascii="Liberation Serif" w:hAnsi="Liberation Serif"/>
                <w:i/>
                <w:color w:val="333333"/>
                <w:sz w:val="20"/>
                <w:szCs w:val="20"/>
              </w:rPr>
              <w:t>Note: A DOI number for the full-text article is acceptable as an alternative to or in addition to traditional volume and page numbers. When providing a DOI, adhere to the format in the example above with both the label and full DOI included at the end of the reference (doi: 10.1016/j.molimm.2014.11.005). Do not provide a shortened DOI or the URL.</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Accepted, unpublished articles</w:t>
            </w:r>
          </w:p>
        </w:tc>
        <w:tc>
          <w:tcPr>
            <w:tcW w:w="7603"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rFonts w:ascii="Liberation Serif" w:hAnsi="Liberation Serif"/>
                <w:color w:val="333333"/>
                <w:sz w:val="20"/>
                <w:szCs w:val="20"/>
              </w:rPr>
            </w:pPr>
            <w:r>
              <w:rPr>
                <w:rFonts w:ascii="Liberation Serif" w:hAnsi="Liberation Serif"/>
                <w:color w:val="333333"/>
                <w:sz w:val="20"/>
                <w:szCs w:val="20"/>
              </w:rPr>
              <w:t>Same as published articles, but substitute “Forthcoming” for page numbers or DOI.</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Online articles</w:t>
            </w:r>
          </w:p>
        </w:tc>
        <w:tc>
          <w:tcPr>
            <w:tcW w:w="7603" w:type="dxa"/>
            <w:tcBorders>
              <w:bottom w:val="single" w:sz="2" w:space="0" w:color="CCCCCC"/>
              <w:insideH w:val="single" w:sz="2" w:space="0" w:color="CCCCCC"/>
            </w:tcBorders>
            <w:shd w:fill="auto" w:val="clear"/>
            <w:vAlign w:val="center"/>
          </w:tcPr>
          <w:p>
            <w:pPr>
              <w:pStyle w:val="TableContents"/>
              <w:pBdr/>
              <w:spacing w:lineRule="auto" w:line="268" w:before="0" w:after="0"/>
              <w:ind w:left="0" w:right="0" w:hanging="0"/>
              <w:jc w:val="left"/>
              <w:rPr>
                <w:color w:val="333333"/>
              </w:rPr>
            </w:pPr>
            <w:r>
              <w:rPr>
                <w:rFonts w:ascii="Liberation Serif" w:hAnsi="Liberation Serif"/>
                <w:b w:val="false"/>
                <w:color w:val="333333"/>
                <w:sz w:val="20"/>
                <w:szCs w:val="20"/>
              </w:rPr>
              <w:t>Huynen MMTE, Martens P, Hilderlink HBM. The health impacts of globalisation: a conceptual framework. Global Health. 2005;1: 14. Available from: http://www.globalizationandhealth.com/content/1/1/14</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Books</w:t>
            </w:r>
          </w:p>
        </w:tc>
        <w:tc>
          <w:tcPr>
            <w:tcW w:w="7603" w:type="dxa"/>
            <w:tcBorders>
              <w:bottom w:val="single" w:sz="2" w:space="0" w:color="CCCCCC"/>
              <w:insideH w:val="single" w:sz="2" w:space="0" w:color="CCCCCC"/>
            </w:tcBorders>
            <w:shd w:fill="auto" w:val="clear"/>
            <w:vAlign w:val="center"/>
          </w:tcPr>
          <w:p>
            <w:pPr>
              <w:pStyle w:val="TableContents"/>
              <w:pBdr/>
              <w:spacing w:lineRule="auto" w:line="268" w:before="0" w:after="0"/>
              <w:ind w:left="0" w:right="0" w:hanging="0"/>
              <w:jc w:val="left"/>
              <w:rPr>
                <w:color w:val="333333"/>
              </w:rPr>
            </w:pPr>
            <w:r>
              <w:rPr>
                <w:rFonts w:ascii="Liberation Serif" w:hAnsi="Liberation Serif"/>
                <w:b w:val="false"/>
                <w:color w:val="333333"/>
                <w:sz w:val="20"/>
                <w:szCs w:val="20"/>
              </w:rPr>
              <w:t>Bates B. Bargaining for life: A social history of tuberculosis. 1st ed. Philadelphia: University of Pennsylvania Press; 1992.</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Book chapters</w:t>
            </w:r>
          </w:p>
        </w:tc>
        <w:tc>
          <w:tcPr>
            <w:tcW w:w="7603"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rFonts w:ascii="Liberation Serif" w:hAnsi="Liberation Serif"/>
                <w:color w:val="333333"/>
                <w:sz w:val="20"/>
                <w:szCs w:val="20"/>
              </w:rPr>
            </w:pPr>
            <w:r>
              <w:rPr>
                <w:rFonts w:ascii="Liberation Serif" w:hAnsi="Liberation Serif"/>
                <w:color w:val="333333"/>
                <w:sz w:val="20"/>
                <w:szCs w:val="20"/>
              </w:rPr>
              <w:t>Hansen B. New York City epidemics and history for the public. In: Harden VA, Risse GB, editors. AIDS and the historian. Bethesda: National Institutes of Health; 1991. pp. 21-28.</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Deposited articles</w:t>
            </w:r>
            <w:r>
              <w:rPr>
                <w:rFonts w:ascii="Liberation Serif" w:hAnsi="Liberation Serif"/>
                <w:color w:val="333333"/>
                <w:sz w:val="20"/>
                <w:szCs w:val="20"/>
              </w:rPr>
              <w:t> </w:t>
            </w:r>
            <w:r>
              <w:rPr>
                <w:rStyle w:val="StrongEmphasis"/>
                <w:rFonts w:ascii="Liberation Serif" w:hAnsi="Liberation Serif"/>
                <w:b/>
                <w:color w:val="333333"/>
                <w:sz w:val="20"/>
                <w:szCs w:val="20"/>
              </w:rPr>
              <w:t>(preprints, e-prints, or arXiv)</w:t>
            </w:r>
          </w:p>
        </w:tc>
        <w:tc>
          <w:tcPr>
            <w:tcW w:w="7603"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rFonts w:ascii="Liberation Serif" w:hAnsi="Liberation Serif"/>
                <w:color w:val="333333"/>
                <w:sz w:val="20"/>
                <w:szCs w:val="20"/>
              </w:rPr>
            </w:pPr>
            <w:r>
              <w:rPr>
                <w:rFonts w:ascii="Liberation Serif" w:hAnsi="Liberation Serif"/>
                <w:color w:val="333333"/>
                <w:sz w:val="20"/>
                <w:szCs w:val="20"/>
              </w:rPr>
              <w:t>Krick T, Shub DA, Verstraete N, Ferreiro DU, Alonso LG, Shub M, et al. Amino acid metabolism conflicts with protein diversity; 1991. Preprint. Available from: arXiv:1403.3301v1. Cited 17 March 2014.</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Published media (print or online newspapers and magazine articles)</w:t>
            </w:r>
          </w:p>
        </w:tc>
        <w:tc>
          <w:tcPr>
            <w:tcW w:w="7603"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rFonts w:ascii="Liberation Serif" w:hAnsi="Liberation Serif"/>
                <w:color w:val="333333"/>
                <w:sz w:val="20"/>
                <w:szCs w:val="20"/>
              </w:rPr>
            </w:pPr>
            <w:r>
              <w:rPr>
                <w:rFonts w:ascii="Liberation Serif" w:hAnsi="Liberation Serif"/>
                <w:color w:val="333333"/>
                <w:sz w:val="20"/>
                <w:szCs w:val="20"/>
              </w:rPr>
              <w:t>Fountain H. For Already Vulnerable Penguins, Study Finds Climate Change Is Another Danger. The New York Times. 29 Jan 2014. Available from: http://www.nytimes.com/2014/01/30/science/earth/climate-change-taking-toll-on-penguins-study-finds.html Cited 17 March 2014.</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New media (blogs, web sites, or other written works)</w:t>
            </w:r>
          </w:p>
        </w:tc>
        <w:tc>
          <w:tcPr>
            <w:tcW w:w="7603"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rFonts w:ascii="Liberation Serif" w:hAnsi="Liberation Serif"/>
                <w:color w:val="333333"/>
                <w:sz w:val="20"/>
                <w:szCs w:val="20"/>
              </w:rPr>
            </w:pPr>
            <w:r>
              <w:rPr>
                <w:rFonts w:ascii="Liberation Serif" w:hAnsi="Liberation Serif"/>
                <w:color w:val="333333"/>
                <w:sz w:val="20"/>
                <w:szCs w:val="20"/>
              </w:rPr>
              <w:t>Allen L. Announcing PLOS Blogs. 2010 Sep 1 [cited 17 March 2014]. In: PLOS Blogs [Internet]. San Francisco: PLOS 2006 - . [about 2 screens]. Available from: http://blogs.plos.org/plos/2010/09/announcing-plos-blogs/.</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Masters' theses or doctoral dissertations</w:t>
            </w:r>
          </w:p>
        </w:tc>
        <w:tc>
          <w:tcPr>
            <w:tcW w:w="7603"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rFonts w:ascii="Liberation Serif" w:hAnsi="Liberation Serif"/>
                <w:color w:val="333333"/>
                <w:sz w:val="20"/>
                <w:szCs w:val="20"/>
              </w:rPr>
            </w:pPr>
            <w:r>
              <w:rPr>
                <w:rFonts w:ascii="Liberation Serif" w:hAnsi="Liberation Serif"/>
                <w:color w:val="333333"/>
                <w:sz w:val="20"/>
                <w:szCs w:val="20"/>
              </w:rPr>
              <w:t>Wells A. Exploring the development of the independent, electronic, scholarly journal. M.Sc. Thesis, The University of Sheffield. 1999. Available from: http://cumincad.scix.net/cgi-bin/works/Show?2e09</w:t>
            </w:r>
          </w:p>
        </w:tc>
      </w:tr>
      <w:tr>
        <w:trPr/>
        <w:tc>
          <w:tcPr>
            <w:tcW w:w="2369"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Databases and repositories (Figshare, arXiv)</w:t>
            </w:r>
          </w:p>
        </w:tc>
        <w:tc>
          <w:tcPr>
            <w:tcW w:w="7603" w:type="dxa"/>
            <w:tcBorders>
              <w:bottom w:val="single" w:sz="2" w:space="0" w:color="CCCCCC"/>
              <w:insideH w:val="single" w:sz="2" w:space="0" w:color="CCCCCC"/>
            </w:tcBorders>
            <w:shd w:fill="auto" w:val="clear"/>
            <w:vAlign w:val="center"/>
          </w:tcPr>
          <w:p>
            <w:pPr>
              <w:pStyle w:val="TableContents"/>
              <w:spacing w:lineRule="auto" w:line="268" w:before="0" w:after="0"/>
              <w:ind w:left="0" w:right="0" w:hanging="0"/>
              <w:jc w:val="left"/>
              <w:rPr>
                <w:rFonts w:ascii="Liberation Serif" w:hAnsi="Liberation Serif"/>
                <w:color w:val="333333"/>
                <w:sz w:val="20"/>
                <w:szCs w:val="20"/>
              </w:rPr>
            </w:pPr>
            <w:r>
              <w:rPr>
                <w:rFonts w:ascii="Liberation Serif" w:hAnsi="Liberation Serif"/>
                <w:color w:val="333333"/>
                <w:sz w:val="20"/>
                <w:szCs w:val="20"/>
              </w:rPr>
              <w:t>Roberts SB. QPX Genome Browser Feature Tracks; 2013 [cited 2013 Oct 5]. Database: figshare [Internet]. Available from: http://figshare.com/articles/QPX_Genome_Browser_Feature_Tracks/701214</w:t>
            </w:r>
          </w:p>
        </w:tc>
      </w:tr>
      <w:tr>
        <w:trPr/>
        <w:tc>
          <w:tcPr>
            <w:tcW w:w="2369" w:type="dxa"/>
            <w:tcBorders/>
            <w:shd w:fill="auto" w:val="clear"/>
            <w:tcMar>
              <w:bottom w:w="0" w:type="dxa"/>
            </w:tcMar>
            <w:vAlign w:val="center"/>
          </w:tcPr>
          <w:p>
            <w:pPr>
              <w:pStyle w:val="TableContents"/>
              <w:spacing w:lineRule="auto" w:line="268" w:before="0" w:after="0"/>
              <w:ind w:left="0" w:right="0" w:hanging="0"/>
              <w:jc w:val="left"/>
              <w:rPr/>
            </w:pPr>
            <w:r>
              <w:rPr>
                <w:rStyle w:val="StrongEmphasis"/>
                <w:rFonts w:ascii="Liberation Serif" w:hAnsi="Liberation Serif"/>
                <w:b/>
                <w:color w:val="333333"/>
                <w:sz w:val="20"/>
                <w:szCs w:val="20"/>
              </w:rPr>
              <w:t>Multimedia (videos, movies, or TV shows)</w:t>
            </w:r>
          </w:p>
        </w:tc>
        <w:tc>
          <w:tcPr>
            <w:tcW w:w="7603" w:type="dxa"/>
            <w:tcBorders/>
            <w:shd w:fill="auto" w:val="clear"/>
            <w:tcMar>
              <w:bottom w:w="0" w:type="dxa"/>
            </w:tcMar>
            <w:vAlign w:val="center"/>
          </w:tcPr>
          <w:p>
            <w:pPr>
              <w:pStyle w:val="TableContents"/>
              <w:spacing w:lineRule="auto" w:line="268" w:before="0" w:after="0"/>
              <w:jc w:val="left"/>
              <w:rPr>
                <w:rFonts w:ascii="Liberation Serif" w:hAnsi="Liberation Serif"/>
                <w:color w:val="333333"/>
                <w:sz w:val="20"/>
                <w:szCs w:val="20"/>
              </w:rPr>
            </w:pPr>
            <w:r>
              <w:rPr>
                <w:rFonts w:ascii="Liberation Serif" w:hAnsi="Liberation Serif"/>
                <w:color w:val="333333"/>
                <w:sz w:val="20"/>
                <w:szCs w:val="20"/>
              </w:rPr>
              <w:t>Hitchcock A, producer and director. Rear Window [Film]; 1954. Los Angeles: MGM.</w:t>
            </w:r>
          </w:p>
        </w:tc>
      </w:tr>
    </w:tbl>
    <w:p>
      <w:pPr>
        <w:pStyle w:val="Normal"/>
        <w:rPr>
          <w:rFonts w:ascii="Liberation Serif" w:hAnsi="Liberation Serif"/>
          <w:sz w:val="20"/>
          <w:szCs w:val="20"/>
        </w:rPr>
      </w:pPr>
      <w:r>
        <w:rPr>
          <w:rFonts w:ascii="Liberation Serif" w:hAnsi="Liberation Serif"/>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lm.nih.gov/bsd/uniform_requirements.html" TargetMode="External"/><Relationship Id="rId3" Type="http://schemas.openxmlformats.org/officeDocument/2006/relationships/hyperlink" Target="http://endnote.com/downloads/style/plos-public-library-science-all-journals" TargetMode="External"/><Relationship Id="rId4" Type="http://schemas.openxmlformats.org/officeDocument/2006/relationships/hyperlink" Target="http://www.ncbi.nlm.nih.gov/nlmcatalog/journal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492</Words>
  <Characters>3087</Characters>
  <CharactersWithSpaces>3551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2018-01-31T13:52:05Z</dcterms:created>
  <dc:creator>Luca Tonin</dc:creator>
  <dc:description/>
  <dc:language>en-US</dc:language>
  <cp:lastModifiedBy>Luca Tonin</cp:lastModifiedBy>
  <dcterms:modified xsi:type="dcterms:W3CDTF">2018-01-31T13:54:24Z</dcterms:modified>
  <cp:revision>2</cp:revision>
  <dc:subject/>
  <dc:title/>
</cp:coreProperties>
</file>