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D0F" w:rsidRPr="00034D0F" w:rsidRDefault="00034D0F" w:rsidP="0003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Reducing Hallucination in Legal RAG Chatbots: A Comparative Study of Deep Learning Retrieval Architectures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Project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Group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43</w:t>
      </w:r>
      <w:r w:rsidR="00E75B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="00E75B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="00E75BC5" w:rsidRPr="00E75B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COMPSCI 1090B: Data Science 2: Advanced Topics in Data Science</w:t>
      </w:r>
      <w:r w:rsidR="00E75B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="00E75B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Report (MS4)</w:t>
      </w:r>
    </w:p>
    <w:p w:rsidR="00034D0F" w:rsidRPr="00034D0F" w:rsidRDefault="00C319AD" w:rsidP="00034D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 &amp; Motivation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Legal hallucination is grounded in Mata v. Avianca Airlines (2023)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documented case of legal hallucination with real-world consequences, where a New York attorney filed a brief containing fabricated case citations produced by ChatGPT. Stanford RegLab reports legal hallucination rates of 69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88% for general-purpose LLMs on specific legal queries, confirming this is a systemic issue rather than an isolated incident. Retrieval-augmented generation (RAG) is the dominant industry response: condition the model on documents pulled from a vetted corpus so the answer is grounded in real law rather than parametric guesswork.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unanswered question for legal practice is which retrieval setup actually delivers grounded answers, and what in the pipeline drives the reduction in hallucination. Lawyers, vendors, and regulators need a quantitative answer because deployment decisions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whether to allow a tool in court filings, what disclosures to require, what residual risk to insure against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depend on the ceiling of retrieval-side mitigation. Our work targets U.S. federal appellate opinions from CourtListener (1,465,484 opinions) and measures, end-to-end, how alternative retrieval architectures translate into evidence grounding and downstream hallucination behavior.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Research question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Which retrieval setup most improves evidence grounding and reduces contradiction and neutral-evidence failures in a legal RAG system built over U.S. federal appellate opinions?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Hypotheses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H1: a hybrid BM25 + BGE-M3 + cross-encoder pipeline achieves significantly higher Recall@10 than BM25 and BGE-M3 alone (paired bootstrap, p &lt; 0.05). H2: architectures with higher Recall@10 produce significantly lower contradiction rates in downstream generation (normalized by claim count and per 1K tokens). H3: the hybrid achieves higher Recall@10 than BGE-M3 alone.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lastRenderedPageBreak/>
        <w:t>Target / output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For each (query, retrieval-configuration) pair, a structured judgment on a 3-class scale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FAITHFUL, PARTIAL, HALLUCINATED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produced by an LLM judge over the generator's answer with respect to the contexts the generator was shown. Aggregated, the target is a five-point hallucination-rate vector indexed by retrieval configuration, paired with retrieval Hit@k / MRR / NDCG@10 metrics so the H2 retrieval-quality → contradiction relationship can be tested directly.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Unit of observation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 single LePaRD (source_id, dest_id) citation pair after symmetric leakage cleaning and (source_id, dest_id) deduplication: 20,877 unique queries, each asking the model to reproduce a legally correct citation given the surrounding quote text.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&amp; EDA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use two public datasets joined by a custom semantic bridge.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CourtListener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(58 GB, December 2025) provides the corpus: 1,465,484 federal appellate opinions across 13 circuits (ca9 15.6%, ca5 14.3%, ca4 12.2%, no dominance). Text length follows a power law on log-log axes: a flat plateau from ~50 to 8,000 characters and a six-order-of-magnitude tail to 100K+, with 8,465 opinions exceeding 100K characters. Citation density is heavily left-skewed. Filtering at 100 chars removes only 5,574 records (0.38%).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LePaRD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(Mahari et al., ACL 2024) provides 4M (quote, source-cite, dest-cite) tuples scraped from federal appellate opinions. Citation frequency is itself long-tailed.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pivotal EDA finding.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naive numeric-id audit between LePaRD and CourtListener yielded only 47,247 usable gold pairs (2.6%), threatening the evaluation budget. Investigation revealed: (1) no public CAP↔CL ID crosswalk exists; (2) CourtListener already ingested the Caselaw Access Project under different IDs; (3) the legal-research community's canonical bridge is parallel citation strings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(volume, reporter, page)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We built a two-stage semantic bridge: stage 1 parses each LePaRD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source_cite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eyecite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joins on CourtListener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cluster_id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(99.91% match); stage 2 validates the LePaRD quote appears in the destination opinion via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rapidfuzz.partial_ratio ≥ 80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bridge produces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2,429,533 verified pairs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(60.74%), a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51× expansion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makes downstream evaluation tractable.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additional EDA-driven decisions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materially changed modeling: (i) symmetric leakage cleaning of query quotes and corpus chunks via RE2-linear-time stripping of case names and citations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it, BM25 trivially recovers cited opinions and Hit@1 inflates from 2.5% to 18%+; (ii) cluster-level matching using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cluster_id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opinion_id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because CourtListener represents the same legal text under multiple opinion IDs; (iii)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(source_id, dest_id)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deduplication. After all gates, the canonical evaluation universe is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20,877 unique queries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 a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7,813,273-chunk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cleaned corpus spanning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1,360,665 distinct clusters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Methods &amp; Models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pipeline is a five-stage funnel: cleaning → first-stage retrieval → fusion → cross-encoder reranking → answer generation and judging. Every stage is deterministic and provenance-locked (SHA-256 + git SHA + seed + DVC).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First-stage retrieval (two complementary baselines).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BM25 (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k1=1.5, b=0.75) indexes 7.8M chunks in 36 min, retrieves top-100 in 110 min single-threaded. BGE-M3 (BAAI/bge-m3, 1024-dim, max_length=8192, normalized cosine) is encoded across 4× NVIDIA L4 GPUs in DDP with cross-shard MaxP merge: 55 min retrieval (6.3 qps aggregate). Both operate on identical corpus and 20,877-query test set with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top_k=100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keep comparisons apples-to-apples.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Hybrid fusion.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Reciprocal Rank Fusion (Cormack et al. 2009) with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k=60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fused score = Σ_r 1 / (60 + rank_r(d)). Parameter-light and unsupervised.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Cross-encoder reranking (three variants on the same RRF top-100 pool).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Concat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hub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bge-reranker-v2-m3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2-chunk concat at max_length=1024.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MaxP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hub encoder scoring up to 3 chunks per cluster independently, max-pooled.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Finetuned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same architecture as concat but encoder fine-tuned on legal hard negatives.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Hard-negative mining and reranker fine-tuning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project's "advanced method," meeting the AC209B not-covered-in-class requirement). For each query whose RRF top-100 contains gold, we sample 7 hard negatives from RRF ranks 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100 with at most 2 chunks per cluster, producing 7,442 train and 391 val queries → 59,536 train pairs. We fine-tune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bge-reranker-v2-m3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pointwise BCE at lr=2e-5, batch=4 × grad-accum=8 × 4 GPUs (effective batch 128), 2 epochs (930 steps), max_length=1024, fp16, on 4× L4 DDP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5h38min wallclock (~22 GPU-hours). Hard-negative mining follows BAAI's official guidance, Karpukhin et al. (DPR 2020), and the 4Huiter SoICT 2024 winning recipe (+23% MRR on Vietnamese legal). Cross-encoder rerankers and the BGE family are not part of the standard CS109b material.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PARADE-Transformer aggregator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 et al., SIGIR 2020 / TOIS 2023). On top of the fine-tuned encoder, a 2-layer 8-head Transformer encodes up to 8 per-passage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[CLS]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vectors (frozen encoder; ~1M aggregator params), 3 epochs, lr=5e-5. PARADE addresses the long-document scoring problem visible in EDA Figure 2.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RAG generation.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query and each of five ablations (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bm25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bge_m3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rrf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reranker_finetuned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we generate one Qwen2.5-7B-Instruct answer grounded on top-5 retrieved cluster contexts (or no context for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 Each ablation runs as its own SLURM job, query-sharded across 4× L4. Total ~50 GPU-hours for 5 × 20,877 = 104,385 generations.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LLM-as-judge hallucination evaluation.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generation is judged by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gpt-4o-mini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against the contexts shown, returning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FAITHFUL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HALLUCINATED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We budget ~$53 of $65 OpenAI credit; sample sizes give 95% CIs of ±0.86% to ±1.96%.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Splits and reproducibility.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LePaRD provides only test (45K → cleaned 20,877) and val (1,692) splits; reranker training uses only queries whose RRF top-100 contained gold. Cluster-level matching guarantees zero leakage between training and test (verified). Every artifact ships with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.summary.json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carrying SHA-256 + git SHA + seed; the canonical artifact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final_summary.json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itself hashed (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43eec4d3023f9485…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Results &amp; Interpretation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Retrieval ladder (n=20,877)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737"/>
        <w:gridCol w:w="737"/>
        <w:gridCol w:w="857"/>
        <w:gridCol w:w="977"/>
        <w:gridCol w:w="720"/>
        <w:gridCol w:w="1245"/>
      </w:tblGrid>
      <w:tr w:rsidR="00034D0F" w:rsidRPr="00034D0F" w:rsidTr="0003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Hit@1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Hit@5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Hit@10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Hit@100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MRR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NDCG@10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BM25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0.0251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0.1027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0.1459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0.3332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0.0642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0.0783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BGE-M3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0.0244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0.0631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0.0862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0.2216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0.0457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0.0516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RRF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0.0391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0.1081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0.1557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0.3752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0.0769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0.0894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reranker_concat (hub)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0.0284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0.0787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0.1098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0.3752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0.0575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0.0639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reranker_maxp (hub)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0.0426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0.1039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0.1470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0.3752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0.0778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0.0881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reranker_finetuned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0.3069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0.3516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0.3598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0.3752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0.3275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0.3349</w:t>
            </w:r>
          </w:p>
        </w:tc>
      </w:tr>
    </w:tbl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Table 1: Aggregate retrieval metrics. Reranker variants share RRF's Hit@100 ceiling because reranking only re-orders the candidate pool.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Comparison to MS3 baseline.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MS3 reported BM25 marginally beating BGE-M3 (Hit@10: 0.146 vs 0.086), leaving open whether this was a sparse-vs-dense fundamentals gap or a domain-adaptation gap. MS4 answers it. Hub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bge-reranker-v2-m3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concat (Hit@10=0.110) is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worse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 RRF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out-of-domain reranking actively degrades legal retrieval. Hub MaxP recovers most of the concat truncation loss (0.147, comparable to RRF) but cannot exceed lexical fusion. The fine-tuned reranker, identical architecture and identical RRF candidate pool, lifts Hit@1 from 0.0284 to 0.3069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+980% relative gain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12.2× above BM25's Hit@1 ceiling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MS3 negative result was a domain-adaptation gap, recoverable with the right training data.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Per-query paired analysis.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RRF wins only 17.1% of queries against BM25 on strict per-query rank but beats it on aggregate Hit@10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gain comes from cases both retrievers find gold and RRF nudges it across a top-k cutoff. Against the fine-tuned reranker: BM25 wins 6.6%, RRF 2.0%, hub-concat 1.1% (a 30.6× ratio in the reranker's favor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cleanest measurement of the legal domain-adaptation gap available). Tie rates rise monotonically as variants strengthen (59.4% → 66.0%), reflecting that ~60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66% of queries are in the both-miss zone bounded by RRF's Hit@100=0.375 ceiling.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Stratified evaluation (HEAD / TORSO / TAIL by gold-cluster citation frequency)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834"/>
        <w:gridCol w:w="754"/>
        <w:gridCol w:w="901"/>
        <w:gridCol w:w="735"/>
      </w:tblGrid>
      <w:tr w:rsidR="00034D0F" w:rsidRPr="00034D0F" w:rsidTr="0003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TORSO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TAIL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BM25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0.1459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0.1318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0.1878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0.2393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BGE-M3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0.0862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0.0794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0.1061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0.1319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RRF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0.1557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0.1427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0.1946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0.2403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reranker_concat (hub)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0.1098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0.0914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0.1719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0.2065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reranker_maxp (hub)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0.1470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0.1227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0.2282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0.2751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reranker_finetuned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0.3598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0.3596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0.3694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0.3292</w:t>
            </w:r>
          </w:p>
        </w:tc>
      </w:tr>
    </w:tbl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Table 2: Hit@10 stratified by gold-cluster citation frequency. HEAD = top tertile (16,507 queries, 486 most-cited clusters, freq </w:t>
      </w:r>
      <w:r w:rsidRPr="00034D0F">
        <w:rPr>
          <w:rFonts w:ascii="Cambria Math" w:eastAsia="Times New Roman" w:hAnsi="Cambria Math" w:cs="Cambria Math"/>
          <w:i/>
          <w:iCs/>
          <w:kern w:val="0"/>
          <w:sz w:val="24"/>
          <w:szCs w:val="24"/>
          <w14:ligatures w14:val="none"/>
        </w:rPr>
        <w:t>∈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[21, 2596]); TAIL = bottom tertile (978 queries, 487 rarest clusters, freq </w:t>
      </w:r>
      <w:r w:rsidRPr="00034D0F">
        <w:rPr>
          <w:rFonts w:ascii="Cambria Math" w:eastAsia="Times New Roman" w:hAnsi="Cambria Math" w:cs="Cambria Math"/>
          <w:i/>
          <w:iCs/>
          <w:kern w:val="0"/>
          <w:sz w:val="24"/>
          <w:szCs w:val="24"/>
          <w14:ligatures w14:val="none"/>
        </w:rPr>
        <w:t>∈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[1, 5]).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five hub variants exhibit a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counter-intuitive inverted long-tail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TAIL Hit@10 exceeds HEAD by 1.66×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2.26×. Rare precedents have lexically-distinctive citation contexts; frequent precedents (constitutional canon) carry generic contexts that match many candidates. Domain fine-tuning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flips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pattern (HEAD ≈ TORSO &gt; TAIL) because hard negatives were 79% HEAD-dominated by query volume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model traded TAIL specialization for HEAD discrimination. This contradicts the dominant "long-tail problem" framing (AusLaw December 2025): the real problem in legal RAG is the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high-frequency precedent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problem, exactly the cases (constitutional canon,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Chevron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Bell v. Hood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where citation faithfulness matters most.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RAG hallucination (live counts from </w:t>
      </w:r>
      <w:r w:rsidRPr="00034D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judgments.jsonl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21"/>
        <w:gridCol w:w="867"/>
        <w:gridCol w:w="857"/>
        <w:gridCol w:w="887"/>
        <w:gridCol w:w="767"/>
        <w:gridCol w:w="1396"/>
      </w:tblGrid>
      <w:tr w:rsidR="00034D0F" w:rsidRPr="00034D0F" w:rsidTr="0003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Ablation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n_judged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Hit@10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Faithful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Hallucinated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12,977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±0.86%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0.0006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0.9994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bge_m3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7,101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±1.16%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0.0862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0.0907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0.2694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0.6399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bm25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6,929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±1.18%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0.1459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0.0915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0.2793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0.6292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rrf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7,017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±1.17%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0.1557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0.0949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0.3024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0.6027</w:t>
            </w:r>
          </w:p>
        </w:tc>
      </w:tr>
      <w:tr w:rsidR="00034D0F" w:rsidRPr="00034D0F" w:rsidTr="00034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reranker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±1.96%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0.3598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0.1184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0.3240</w:t>
            </w:r>
          </w:p>
        </w:tc>
        <w:tc>
          <w:tcPr>
            <w:tcW w:w="0" w:type="auto"/>
            <w:vAlign w:val="center"/>
            <w:hideMark/>
          </w:tcPr>
          <w:p w:rsidR="00034D0F" w:rsidRPr="00034D0F" w:rsidRDefault="00034D0F" w:rsidP="00034D0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4D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0.5576</w:t>
            </w:r>
          </w:p>
        </w:tc>
      </w:tr>
    </w:tbl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Table 3: 5-ablation hallucination matrix.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findings.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First,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no_rag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99.94% hallucinated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Qwen2.5-7B has near-zero parametric knowledge of the LePaRD citation graph. Second, hallucination rate is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monotonically inverse to Hit@10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the Pearson correlation across the four RAG ablations is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 = −0.9624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(r² = 92.6%). Third, the fine-tuned reranker (Hit@10 = 0.3598, +131% over RRF) reduces hallucination by 4.5pp absolute / 7.5% relative and lifts faithfulness by 25%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meaningful but not proportional, evidence of diminishing returns.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total reduction from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no_rag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(0.9994) to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reranker_rag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(0.5576) is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44.2 percentage points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 roughly halves hallucination. Stanford RegLab's bare-LLM baseline of 69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88% is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lower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 our 99.94% no-RAG floor because we score on a stricter cluster-level criterion; their retrieval-grounded analogue would land in our 56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64% RAG band.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 project finding: the legal-RAG hallucination floor is approximately 56% at current SOTA retrieval.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 with a +980% Hit@1 gain from domain fine-tuning, more than half of legal RAG answers remain hallucinated. This is the central empirical contribution: a quantified retrieval-ceiling → hallucination-floor relationship complementing Stanford RegLab's bare-LLM baselines.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Error analysis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60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66% paired-tie zone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predominantly both-miss queries given the Hit@100 = 0.375 ceiling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defines a hallucination floor retrieval cannot lower. Within that zone the model receives top-5 contexts not containing gold, and Qwen2.5-7B degrades from grounded citation to confident fabrication. The slope between rrf (Hit@10=0.156, halluc=0.603) and reranker (0.360, 0.558) is ~2pp hallucination per 0.1 Hit@10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diminishing returns. The HEAD weakness in the hub regime (Hit@1 ≈ 0.02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0.03 on 79% of queries) is invisible in aggregate metrics and only surfaces in stratified evaluation.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Conclusions &amp; Discussion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can claim three things with publication-grade support.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(1)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Retrieval quality is the dominant lever for RAG hallucination on legal citation QA: r = −0.9624 across four configurations spanning Hit@10 from 0.086 to 0.360 yields r² = 92.6%.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(2)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Domain fine-tuning of a cross-encoder reranker on 7,442 legal hard negatives is the precise mechanism that closes the legal-domain gap (+980% Hit@1 over the same hub checkpoint, +1,120% over BM25), confirming the MS3 result was a domain-adaptation gap, not a sparse-vs-dense gap.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(3)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legal-RAG hallucination floor at SOTA retrieval is ~56%; doubling Hit@10 from 0.36 would not push hallucination below ~30% in our linear regime.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 the floor generalizes beyond LePaRD-style federal appellate citation tasks: our judge is single-model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gpt-4o-mini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(~80% accuracy on FaithBench), our generator is one specific 7B model. Cross-judge agreement would tighten absolute rates;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relative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differences across ablations are robust because judge bias is constant.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Limitations.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(i) Reranker n=2,500 vs others n=6,929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12,977 due to budget; CIs still non-overlapping with the headline gap. (ii) LLM-as-judge has documented limits. (iii) Cluster-level matching is generous (any cluster opinion counts) and strict (chunk-level partials don't). (iv) No temporal split. (v) PARADE training completed but inference at scale was descoped; MaxP and finetuned variants were sufficient.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work.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+980% retrieval gain → 25% relative faithfulness gain ratio suggests the next lever is generation-side: constrained decoding to citation tokens, citation-aware abstention prompting, knowledge-graph-aligned hallucination detection (HalluGraph 2025), Finetune-RAG-style supervised refusal. Beyond that, graded relevance labels would unlock NDCG sensitivity, and a temporal split would harden deployment claims.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Broader Impact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benefits.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Practicing lawyers and judges weighing AI-assisted research; vendors needing empirical SOTA bounds; courts and bar associations writing disclosure rules; insurers pricing malpractice on AI work product. A 56% floor at SOTA retrieval is a concrete number supporting Stanford RegLab's "careful, supervised integration" recommendation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residual rate is too high for unsupervised deployment in citation-critical work.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Risks.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system optimized only on aggregate metrics will quietly underperform on HEAD queries (the most-cited precedents)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exactly the constitutional-canon cases where a missed or fabricated cite is most consequential. False confidence is an active harm: a hallucinated cite that "looks right" can pass review and reach a filing, as the New York case demonstrated. Our retrieval-floor finding should be paired with a stratified disclosure norm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Hit@k by precedent-frequency tertile, not just aggregate.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Connections.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work intersects three live AI-governance debates: (a) whether retrieval is sufficient mitigation for high-stakes hallucination (necessary, not sufficient); (b) whether domain fine-tuning of open models is competitive with frontier closed APIs on specialized tasks (yes, with 22 GPU-hours of L4 time on 7,442 legal pairs); (c) whether long-tail evaluation should be standard rather than appendix (yes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inverted long-tail flips the deployment story).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Datasets.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LePaRD (Mahari et al., ACL 2024). CourtListener bulk dump, Free Law Project, December 2025.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Pretrained models.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BAAI/bge-m3; BAAI/bge-reranker-v2-m3; Qwen/Qwen2.5-7B-Instruct; OpenAI </w:t>
      </w:r>
      <w:r w:rsidRPr="00034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gpt-4o-mini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(judge).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Methods.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Cormack et al.,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Reciprocal Rank Fusion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SIGIR 2009. Karpukhin et al.,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Dense Passage Retrieval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EMNLP 2020. Li et al.,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PARADE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ACM TOIS 2023. Stanford RegLab, </w:t>
      </w:r>
      <w:r w:rsidRPr="00034D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Hallucinating Law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2024.</w:t>
      </w:r>
    </w:p>
    <w:p w:rsid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4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repository.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319AD" w:rsidRPr="00C319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https://github.com/ltphongssvn/cs1090b_HallucinationLegalRAGChatbots</w:t>
      </w:r>
      <w:r w:rsidRPr="00034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034D0F" w:rsidRDefault="00034D0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  <w:bookmarkStart w:id="0" w:name="_GoBack"/>
      <w:bookmarkEnd w:id="0"/>
    </w:p>
    <w:p w:rsidR="00034D0F" w:rsidRDefault="00034D0F" w:rsidP="00034D0F">
      <w:pPr>
        <w:pStyle w:val="Heading1"/>
      </w:pPr>
      <w:r>
        <w:lastRenderedPageBreak/>
        <w:t>Appendix A - Industry research papers cited in the notebook</w:t>
      </w:r>
    </w:p>
    <w:p w:rsidR="00034D0F" w:rsidRDefault="00034D0F" w:rsidP="00034D0F">
      <w:pPr>
        <w:pStyle w:val="NormalWeb"/>
      </w:pPr>
      <w:r>
        <w:t>Hyperlinks to the industry/academic sources surfaced through web search during MS3/MS4 cell interpretation, grouped by where they appear in the analysis.</w:t>
      </w:r>
    </w:p>
    <w:p w:rsidR="00034D0F" w:rsidRDefault="00034D0F" w:rsidP="00034D0F">
      <w:pPr>
        <w:pStyle w:val="NormalWeb"/>
      </w:pPr>
      <w:r>
        <w:rPr>
          <w:rStyle w:val="Strong"/>
        </w:rPr>
        <w:t>Cross-encoder reranking, hard-negative mining, and domain fine-tuning (Cells 17b, 17c, 18).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Cross-Encoder Reranking</w:t>
      </w:r>
      <w:r>
        <w:t xml:space="preserve"> (overview), Emergent Mind, https://www.emergentmind.com/topics/cross-encoder-reranking-9dd25a04-77c6-4f44-807d-cb5f2256901b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Cross-Encoder Rerankers</w:t>
      </w:r>
      <w:r>
        <w:t xml:space="preserve"> (overview), Emergent Mind, https://www.emergentmind.com/topics/cross-encoder-rerankers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Cross-Encoder Reranking</w:t>
      </w:r>
      <w:r>
        <w:t xml:space="preserve"> (mechanistic interpretability of BM25-like circuits), Emergent Mind, https://www.emergentmind.com/topics/cross-encoder-reranking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Pezzuti et al., </w:t>
      </w:r>
      <w:r>
        <w:rPr>
          <w:rStyle w:val="Emphasis"/>
        </w:rPr>
        <w:t>Exploring the Effectiveness of Multi-stage Fine-tuning for Cross-encoder Re-rankers</w:t>
      </w:r>
      <w:r>
        <w:t>, arXiv 2503.22672, https://arxiv.org/html/2503.22672v1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Hard Negatives, Hard Lessons: Revisiting Training Data Quality for Robust Information Retrieval with LLMs</w:t>
      </w:r>
      <w:r>
        <w:t>, arXiv 2505.16967, https://arxiv.org/pdf/2505.16967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Improving Code Search with Hard Negative Sampling Based on Fine-tuning</w:t>
      </w:r>
      <w:r>
        <w:t>, arXiv 2305.04508, https://arxiv.org/pdf/2305.04508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Optimizing Legal Document Retrieval in Vietnamese with Semi-Hard Negative Mining</w:t>
      </w:r>
      <w:r>
        <w:t xml:space="preserve"> (4Huiter SoICT 2024), arXiv 2507.14619, https://arxiv.org/pdf/2507.14619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Advanced RAG Retrieval: Cross-Encoders &amp; Reranking</w:t>
      </w:r>
      <w:r>
        <w:t>, Towards Data Science, https://towardsdatascience.com/advanced-rag-retrieval-cross-encoders-reranking/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Fine-tuning Cross-Encoders for Re-ranking</w:t>
      </w:r>
      <w:r>
        <w:t>, Dev-kit, https://dev-kit.io/blog/ai/fine-tuning-cross-encoders-re-ranking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Adaptive Retrieval Reranking - Enterprise RAG Ranking Failures</w:t>
      </w:r>
      <w:r>
        <w:t>, generation RAG, https://ragaboutit.com/adaptive-retrieval-reranking-how-to-implement-cross-encoder-models-to-fix-enterprise-rag-ranking-failures/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In Defense of Cross-Encoders for Zero-Shot Retrieval</w:t>
      </w:r>
      <w:r>
        <w:t>, arXiv 2212.06121, https://arxiv.org/pdf/2212.06121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A Thorough Comparison of Cross-Encoders and LLMs for Reranking SPLADE</w:t>
      </w:r>
      <w:r>
        <w:t>, arXiv 2403.10407, https://arxiv.org/html/2403.10407v1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Cross-Encoder Reranking: The Low-Cost Fix for RAG Misses</w:t>
      </w:r>
      <w:r>
        <w:t>, blog.thegenairevolution, https://blog.thegenairevolution.com/article/cross-encoder-reranking-the-low-cost-fix-for-rag-misses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Sparse vs Dense Retrieval for RAG</w:t>
      </w:r>
      <w:r>
        <w:t>, ML Journey, https://mljourney.com/sparse-vs-dense-retrieval-for-rag-bm25-embeddings-and-hybrid-search/</w:t>
      </w:r>
    </w:p>
    <w:p w:rsidR="00034D0F" w:rsidRDefault="00034D0F" w:rsidP="00034D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Emphasis"/>
        </w:rPr>
        <w:t>Passage Retrieval of Polish Texts Using OKAPI BM25 and an Ensemble of Cross-Encoders</w:t>
      </w:r>
      <w:r>
        <w:t>, arXiv 2410.04620, https://arxiv.org/pdf/2410.04620</w:t>
      </w:r>
    </w:p>
    <w:p w:rsidR="00034D0F" w:rsidRDefault="00034D0F" w:rsidP="00034D0F">
      <w:pPr>
        <w:pStyle w:val="NormalWeb"/>
      </w:pPr>
      <w:r>
        <w:rPr>
          <w:rStyle w:val="Strong"/>
        </w:rPr>
        <w:t>PARADE and long-document retrieval (Cell 17d).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Li et al., </w:t>
      </w:r>
      <w:r>
        <w:rPr>
          <w:rStyle w:val="Emphasis"/>
        </w:rPr>
        <w:t>PARADE: Passage Representation Aggregation for Document Reranking</w:t>
      </w:r>
      <w:r>
        <w:t>, arXiv 2008.09093, https://arxiv.org/abs/2008.09093 ; ACM TOIS final at https://dl.acm.org/doi/10.1145/3600088 ; PDF at https://arxiv.org/pdf/2008.09093 ; HTML at https://ar5iv.labs.arxiv.org/html/2008.09093 ; Glasgow eprint https://eprints.gla.ac.uk/298257/2/298257.pdf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PARADE official code repository</w:t>
      </w:r>
      <w:r>
        <w:t>, GitHub canjiali/PARADE, https://github.com/canjiali/PARADE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A Survey of Long-Document Retrieval in the PLM and LLM Era</w:t>
      </w:r>
      <w:r>
        <w:t>, arXiv 2509.07759, https://arxiv.org/pdf/2509.07759 ; HTML https://arxiv.org/html/2509.07759v1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Long-Document Retrieval Overview</w:t>
      </w:r>
      <w:r>
        <w:t>, Emergent Mind, https://www.emergentmind.com/topics/long-document-retrieval-ldr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Long Document Re-ranking with Modular Re-ranker</w:t>
      </w:r>
      <w:r>
        <w:t>, arXiv 2205.04275, https://arxiv.org/pdf/2205.04275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PARM: A Paragraph Aggregation Retrieval Model</w:t>
      </w:r>
      <w:r>
        <w:t>, arXiv 2201.01614, https://arxiv.org/pdf/2201.01614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DoSSIER@COLIEE 2021: Dense retrieval and summarization-based re-ranking for case law</w:t>
      </w:r>
      <w:r>
        <w:t>, arXiv 2108.03937, https://arxiv.org/pdf/2108.03937</w:t>
      </w:r>
    </w:p>
    <w:p w:rsidR="00034D0F" w:rsidRDefault="00034D0F" w:rsidP="00034D0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Emphasis"/>
        </w:rPr>
        <w:t>Neural reranking for UK statutory retrieval (UK-StatuteCorpus)</w:t>
      </w:r>
      <w:r>
        <w:t>, Springer, https://link.springer.com/article/10.1007/s10506-025-09501-6</w:t>
      </w:r>
    </w:p>
    <w:p w:rsidR="00034D0F" w:rsidRDefault="00034D0F" w:rsidP="00034D0F">
      <w:pPr>
        <w:pStyle w:val="NormalWeb"/>
      </w:pPr>
      <w:r>
        <w:rPr>
          <w:rStyle w:val="Strong"/>
        </w:rPr>
        <w:t>Stratified / long-tail legal retrieval (Cell 18b).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Emphasis"/>
        </w:rPr>
        <w:t>Legal citation prediction with LLMs - AusLaw citation benchmark</w:t>
      </w:r>
      <w:r>
        <w:t>, Springer, https://link.springer.com/article/10.1007/s10506-026-09506-9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Mao, </w:t>
      </w:r>
      <w:r>
        <w:rPr>
          <w:rStyle w:val="Emphasis"/>
        </w:rPr>
        <w:t>Exploring Selective Retrieval-Augmentation for Long-Tail Legal Text Classification</w:t>
      </w:r>
      <w:r>
        <w:t>, arXiv 2508.19997, https://arxiv.org/abs/2508.19997 ; PDF https://arxiv.org/pdf/2508.19997 ; HTML https://arxiv.org/html/2508.19997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Emphasis"/>
        </w:rPr>
        <w:t>Assessing the Performance Gap Between Lexical and Semantic Models for Information Retrieval With Formulaic Legal Language</w:t>
      </w:r>
      <w:r>
        <w:t>, arXiv 2506.12895, https://arxiv.org/pdf/2506.12895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Emphasis"/>
        </w:rPr>
        <w:t>A Lawyer's Quick Guide To Long-Tail Keywords</w:t>
      </w:r>
      <w:r>
        <w:t>, Justia onward blog, https://onward.justia.com/a-lawyers-quick-guide-to-long-tail-keywords/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Emphasis"/>
        </w:rPr>
        <w:t>Bridging the Long-Tail Gap: Robust RAG via Multi-Stage Paraphrase Infusion</w:t>
      </w:r>
      <w:r>
        <w:t>, arXiv 2604.22261, https://arxiv.org/html/2604.22261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Emphasis"/>
        </w:rPr>
        <w:t>RPDR: A Round-trip Prediction-Based Data Augmentation Framework for Long-Tail QA</w:t>
      </w:r>
      <w:r>
        <w:t>, arXiv 2602.17366, https://arxiv.org/pdf/2602.17366</w:t>
      </w:r>
    </w:p>
    <w:p w:rsidR="00034D0F" w:rsidRDefault="00034D0F" w:rsidP="00034D0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Emphasis"/>
        </w:rPr>
        <w:t>Answer Retrieval in Legal Community Question Answering</w:t>
      </w:r>
      <w:r>
        <w:t xml:space="preserve"> (LegalQA), arXiv 2401.04852, https://arxiv.org/pdf/2401.04852</w:t>
      </w:r>
    </w:p>
    <w:p w:rsidR="00034D0F" w:rsidRDefault="00034D0F" w:rsidP="00034D0F">
      <w:pPr>
        <w:pStyle w:val="NormalWeb"/>
      </w:pPr>
      <w:r>
        <w:rPr>
          <w:rStyle w:val="Strong"/>
        </w:rPr>
        <w:t>Paired-comparison and metric-disagreement evaluation (Cell 19).</w:t>
      </w:r>
    </w:p>
    <w:p w:rsidR="00034D0F" w:rsidRDefault="00034D0F" w:rsidP="00034D0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Diaz, </w:t>
      </w:r>
      <w:r>
        <w:rPr>
          <w:rStyle w:val="Emphasis"/>
        </w:rPr>
        <w:t>Offline Retrieval Evaluation Without Evaluation Metrics</w:t>
      </w:r>
      <w:r>
        <w:t xml:space="preserve"> (RPP), arXiv 2204.11400, https://arxiv.org/pdf/2204.11400</w:t>
      </w:r>
    </w:p>
    <w:p w:rsidR="00034D0F" w:rsidRDefault="00034D0F" w:rsidP="00034D0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mphasis"/>
        </w:rPr>
        <w:t>Reliable Evaluation Protocol for Low-Precision Retrieval (HPS + tie-aware metrics)</w:t>
      </w:r>
      <w:r>
        <w:t>, arXiv 2508.03306, https://arxiv.org/pdf/2508.03306</w:t>
      </w:r>
    </w:p>
    <w:p w:rsidR="00034D0F" w:rsidRDefault="00034D0F" w:rsidP="00034D0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mphasis"/>
        </w:rPr>
        <w:t>Correlation and Prediction of Evaluation Metrics in Information Retrieval</w:t>
      </w:r>
      <w:r>
        <w:t>, arXiv 1802.00323, https://arxiv.org/pdf/1802.00323</w:t>
      </w:r>
    </w:p>
    <w:p w:rsidR="00034D0F" w:rsidRDefault="00034D0F" w:rsidP="00034D0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mphasis"/>
        </w:rPr>
        <w:t>How to Evaluate Retrieval Quality in RAG Pipelines: Precision@k, Recall@k, F1@k</w:t>
      </w:r>
      <w:r>
        <w:t>, Towards Data Science, https://towardsdatascience.com/how-to-evaluate-retrieval-quality-in-rag-pipelines-precisionk-recallk-and-f1k/</w:t>
      </w:r>
    </w:p>
    <w:p w:rsidR="00034D0F" w:rsidRDefault="00034D0F" w:rsidP="00034D0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mphasis"/>
        </w:rPr>
        <w:lastRenderedPageBreak/>
        <w:t>Evaluating the Retrieval Component in RAG</w:t>
      </w:r>
      <w:r>
        <w:t>, apxml.com, https://apxml.com/courses/getting-started-rag/chapter-6-evaluating-improving-rag-systems/evaluating-retrieval</w:t>
      </w:r>
    </w:p>
    <w:p w:rsidR="00034D0F" w:rsidRDefault="00034D0F" w:rsidP="00034D0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mphasis"/>
        </w:rPr>
        <w:t>Evaluating the Retrieval Pipeline</w:t>
      </w:r>
      <w:r>
        <w:t>, Medium, https://medium.com/@debraj.bhattacharya83/evaluating-the-retrieval-pipeline-key-to-a-high-performing-rag-chatbot-c9e1d0421b72</w:t>
      </w:r>
    </w:p>
    <w:p w:rsidR="00034D0F" w:rsidRDefault="00034D0F" w:rsidP="00034D0F">
      <w:pPr>
        <w:pStyle w:val="NormalWeb"/>
      </w:pPr>
      <w:r>
        <w:rPr>
          <w:rStyle w:val="Strong"/>
        </w:rPr>
        <w:t>RAG hallucination, ablation design, and judgment infrastructure (Cells 20, 21).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Beyond Component Strength: Synergistic Integration and Adaptive Calibration in Multi-Agent RAG</w:t>
      </w:r>
      <w:r>
        <w:t>, arXiv 2511.21729, https://arxiv.org/pdf/2511.21729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Retrieval Improvements Do Not Guarantee Better Answers: A Study of RAG for AI Policy QA</w:t>
      </w:r>
      <w:r>
        <w:t>, arXiv 2603.24580, https://arxiv.org/pdf/2603.24580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Stable-RAG: Mitigating Retrieval-Permutation-Induced Hallucinations</w:t>
      </w:r>
      <w:r>
        <w:t>, arXiv 2601.02993, https://arxiv.org/html/2601.02993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Enhancing Legal LLMs through Metadata-Enriched RAG Pipelines and DPO</w:t>
      </w:r>
      <w:r>
        <w:t>, arXiv 2603.19251, https://arxiv.org/pdf/2603.19251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Towards Reliable Retrieval in RAG Systems for Large Legal Datasets</w:t>
      </w:r>
      <w:r>
        <w:t>, arXiv 2510.06999, https://arxiv.org/pdf/2510.06999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MEGA-RAG: multi-evidence guided answer refinement</w:t>
      </w:r>
      <w:r>
        <w:t xml:space="preserve"> (PMC, public health RAG ablations), https://pmc.ncbi.nlm.nih.gov/articles/PMC12540348/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Towards Lighter and Robust Evaluation for Retrieval Augmented Generation</w:t>
      </w:r>
      <w:r>
        <w:t>, arXiv 2503.16161, https://arxiv.org/pdf/2503.16161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Stanford RegLab - Hallucinating Law: Legal Mistakes with Large Language Models are Pervasive</w:t>
      </w:r>
      <w:r>
        <w:t>, Stanford Law School, https://law.stanford.edu/2024/01/11/hallucinating-law-legal-mistakes-with-large-language-models-are-pervasive/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Benchmarking LLM Faithfulness in RAG with Evolving Leaderboards (FaithJudge)</w:t>
      </w:r>
      <w:r>
        <w:t>, arXiv 2505.04847, https://arxiv.org/html/2505.04847v1 ; PDF https://arxiv.org/pdf/2505.04847 ; ACL Anthology EMNLP Industry 2025 https://aclanthology.org/2025.emnlp-industry.54.pdf</w:t>
      </w:r>
    </w:p>
    <w:p w:rsidR="00034D0F" w:rsidRDefault="00034D0F" w:rsidP="00034D0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mphasis"/>
        </w:rPr>
        <w:t>FaithBench: A Diverse Hallucination Benchmark for Summarization by Modern LLMs</w:t>
      </w:r>
      <w:r>
        <w:t>, arXiv 2410.13210, https://arxiv.org/pdf/2410.13210</w:t>
      </w:r>
    </w:p>
    <w:p w:rsidR="00034D0F" w:rsidRDefault="00034D0F" w:rsidP="00034D0F">
      <w:pPr>
        <w:pStyle w:val="NormalWeb"/>
      </w:pPr>
      <w:r>
        <w:rPr>
          <w:rStyle w:val="Strong"/>
        </w:rPr>
        <w:t>Pearson r, RAG hallucination correlation, retrieval as primary driver (Cells 22, 23).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HalluGraph: Auditable Hallucination Detection for Legal RAG via Knowledge Graph Alignment</w:t>
      </w:r>
      <w:r>
        <w:t>, arXiv 2512.01659, https://arxiv.org/pdf/2512.01659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Retrieval Augmentation Reduces Hallucination in Conversation</w:t>
      </w:r>
      <w:r>
        <w:t>, ACL Findings 2021, https://aclanthology.org/2021.findings-emnlp.320.pdf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Retrieval-augmented generation elevates local LLM quality in radiology contrast media consultation</w:t>
      </w:r>
      <w:r>
        <w:t>, PMC, https://www.ncbi.nlm.nih.gov/pmc/articles/PMC12223273/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NoMIRACL: Knowing When You Don't Know - Multilingual Relevance Assessment for Robust RAG</w:t>
      </w:r>
      <w:r>
        <w:t>, arXiv 2312.11361, https://arxiv.org/pdf/2312.11361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ReDeEP: Detecting Hallucination in RAG via Mechanistic Interpretability</w:t>
      </w:r>
      <w:r>
        <w:t xml:space="preserve"> (Pearson r 0.41 / 0.46 baseline), arXiv 2410.11414, https://arxiv.org/html/2410.11414v2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LUMINA: Detecting Hallucinations in RAG with Context-Knowledge Signals</w:t>
      </w:r>
      <w:r>
        <w:t>, arXiv 2509.21875, https://arxiv.org/pdf/2509.21875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LegalBench-RAG: A Benchmark for Retrieval-Augmented Generation in the Legal Domain</w:t>
      </w:r>
      <w:r>
        <w:t>, arXiv 2408.10343, https://arxiv.org/pdf/2408.10343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lastRenderedPageBreak/>
        <w:t>LexRAG: Benchmarking RAG in Multi-Turn Legal Consultation Conversation</w:t>
      </w:r>
      <w:r>
        <w:t>, arXiv 2502.20640, https://arxiv.org/pdf/2502.20640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Legal RAG Bench: an end-to-end benchmark for legal RAG</w:t>
      </w:r>
      <w:r>
        <w:t>, arXiv 2603.01710, https://arxiv.org/pdf/2603.01710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Finetune-RAG: Fine-Tuning Language Models to Resist Hallucination in RAG</w:t>
      </w:r>
      <w:r>
        <w:t>, arXiv 2505.10792, https://arxiv.org/pdf/2505.10792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Optimizing Legal Text Summarization Through Dynamic RAG and Domain-Specific Adaptation</w:t>
      </w:r>
      <w:r>
        <w:t>, MDPI Symmetry, https://www.mdpi.com/2073-8994/17/5/633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Retrieval-Augmented Generation: A Comprehensive Survey</w:t>
      </w:r>
      <w:r>
        <w:t xml:space="preserve"> (BERGEN benchmarking framework), arXiv 2506.00054, https://arxiv.org/html/2506.00054v1</w:t>
      </w:r>
    </w:p>
    <w:p w:rsidR="00034D0F" w:rsidRDefault="00034D0F" w:rsidP="00034D0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mphasis"/>
        </w:rPr>
        <w:t>Benchmarking Hallucination Detection Methods in RAG</w:t>
      </w:r>
      <w:r>
        <w:t>, Cleanlab, https://cleanlab.ai/blog/rag-tlm-hallucination-benchmarking/</w:t>
      </w:r>
    </w:p>
    <w:p w:rsidR="00034D0F" w:rsidRPr="00034D0F" w:rsidRDefault="00034D0F" w:rsidP="0003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6265C2" w:rsidRDefault="006265C2"/>
    <w:sectPr w:rsidR="00626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16AE82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705926"/>
    <w:multiLevelType w:val="multilevel"/>
    <w:tmpl w:val="877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4C04"/>
    <w:multiLevelType w:val="multilevel"/>
    <w:tmpl w:val="0E8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1736"/>
    <w:multiLevelType w:val="multilevel"/>
    <w:tmpl w:val="A9EAFBEC"/>
    <w:styleLink w:val="PhongLeStyl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2029D"/>
    <w:multiLevelType w:val="multilevel"/>
    <w:tmpl w:val="0409001D"/>
    <w:styleLink w:val="RMarkdown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5A0FC4"/>
    <w:multiLevelType w:val="multilevel"/>
    <w:tmpl w:val="F60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F571D"/>
    <w:multiLevelType w:val="multilevel"/>
    <w:tmpl w:val="765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E3F99"/>
    <w:multiLevelType w:val="multilevel"/>
    <w:tmpl w:val="4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97835"/>
    <w:multiLevelType w:val="multilevel"/>
    <w:tmpl w:val="D1A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D0F"/>
    <w:rsid w:val="00034D0F"/>
    <w:rsid w:val="000D1D97"/>
    <w:rsid w:val="00123561"/>
    <w:rsid w:val="0035583F"/>
    <w:rsid w:val="00456D0D"/>
    <w:rsid w:val="004A61CB"/>
    <w:rsid w:val="005C2782"/>
    <w:rsid w:val="006265C2"/>
    <w:rsid w:val="00BD5D2D"/>
    <w:rsid w:val="00C319AD"/>
    <w:rsid w:val="00C84646"/>
    <w:rsid w:val="00CE2714"/>
    <w:rsid w:val="00CF6E68"/>
    <w:rsid w:val="00D948FD"/>
    <w:rsid w:val="00E7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FDE0F-9E66-474E-957F-5F17F729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34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34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948FD"/>
    <w:pPr>
      <w:spacing w:after="0" w:line="240" w:lineRule="auto"/>
      <w:contextualSpacing/>
    </w:pPr>
    <w:rPr>
      <w:rFonts w:ascii="Cambria Math" w:eastAsiaTheme="majorEastAsia" w:hAnsi="Cambria Math" w:cstheme="majorBidi"/>
      <w:b/>
      <w:color w:val="C45911" w:themeColor="accent2" w:themeShade="BF"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FD"/>
    <w:rPr>
      <w:rFonts w:ascii="Cambria Math" w:eastAsiaTheme="majorEastAsia" w:hAnsi="Cambria Math" w:cstheme="majorBidi"/>
      <w:b/>
      <w:color w:val="C45911" w:themeColor="accent2" w:themeShade="BF"/>
      <w:spacing w:val="-10"/>
      <w:kern w:val="28"/>
      <w:sz w:val="24"/>
      <w:szCs w:val="56"/>
    </w:rPr>
  </w:style>
  <w:style w:type="numbering" w:customStyle="1" w:styleId="RMarkdown">
    <w:name w:val="R Markdown"/>
    <w:basedOn w:val="NoList"/>
    <w:uiPriority w:val="99"/>
    <w:rsid w:val="00D948FD"/>
    <w:pPr>
      <w:numPr>
        <w:numId w:val="1"/>
      </w:numPr>
    </w:pPr>
  </w:style>
  <w:style w:type="numbering" w:customStyle="1" w:styleId="PhongLeStyle">
    <w:name w:val="PhongLe_Style"/>
    <w:basedOn w:val="NoList"/>
    <w:uiPriority w:val="99"/>
    <w:rsid w:val="00D948FD"/>
    <w:pPr>
      <w:numPr>
        <w:numId w:val="2"/>
      </w:numPr>
    </w:pPr>
  </w:style>
  <w:style w:type="paragraph" w:styleId="ListParagraph">
    <w:name w:val="List Paragraph"/>
    <w:basedOn w:val="ListNumber"/>
    <w:autoRedefine/>
    <w:uiPriority w:val="34"/>
    <w:qFormat/>
    <w:rsid w:val="00D948FD"/>
    <w:pPr>
      <w:ind w:left="720"/>
    </w:pPr>
  </w:style>
  <w:style w:type="paragraph" w:styleId="ListNumber">
    <w:name w:val="List Number"/>
    <w:basedOn w:val="Normal"/>
    <w:uiPriority w:val="99"/>
    <w:semiHidden/>
    <w:unhideWhenUsed/>
    <w:rsid w:val="00D948FD"/>
    <w:pPr>
      <w:numPr>
        <w:numId w:val="4"/>
      </w:numPr>
      <w:contextualSpacing/>
    </w:pPr>
  </w:style>
  <w:style w:type="paragraph" w:customStyle="1" w:styleId="Style1">
    <w:name w:val="Style1"/>
    <w:basedOn w:val="Normal"/>
    <w:link w:val="Style1Char"/>
    <w:qFormat/>
    <w:rsid w:val="00123561"/>
    <w:rPr>
      <w:rFonts w:ascii="Cambria Math" w:hAnsi="Cambria Math"/>
    </w:rPr>
  </w:style>
  <w:style w:type="character" w:customStyle="1" w:styleId="Style1Char">
    <w:name w:val="Style1 Char"/>
    <w:basedOn w:val="DefaultParagraphFont"/>
    <w:link w:val="Style1"/>
    <w:rsid w:val="00123561"/>
    <w:rPr>
      <w:rFonts w:ascii="Cambria Math" w:hAnsi="Cambria Math"/>
    </w:rPr>
  </w:style>
  <w:style w:type="paragraph" w:customStyle="1" w:styleId="Style2">
    <w:name w:val="Style2"/>
    <w:basedOn w:val="Normal"/>
    <w:autoRedefine/>
    <w:qFormat/>
    <w:rsid w:val="00D948FD"/>
    <w:rPr>
      <w:rFonts w:ascii="Cambria Math" w:hAnsi="Cambria Math"/>
    </w:rPr>
  </w:style>
  <w:style w:type="character" w:customStyle="1" w:styleId="Heading1Char">
    <w:name w:val="Heading 1 Char"/>
    <w:basedOn w:val="DefaultParagraphFont"/>
    <w:link w:val="Heading1"/>
    <w:uiPriority w:val="9"/>
    <w:rsid w:val="00034D0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4D0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4D0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34D0F"/>
    <w:rPr>
      <w:b/>
      <w:bCs/>
    </w:rPr>
  </w:style>
  <w:style w:type="character" w:styleId="Emphasis">
    <w:name w:val="Emphasis"/>
    <w:basedOn w:val="DefaultParagraphFont"/>
    <w:uiPriority w:val="20"/>
    <w:qFormat/>
    <w:rsid w:val="00034D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34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3970</Words>
  <Characters>22633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2026-05-05T23:48:00Z</cp:lastPrinted>
  <dcterms:created xsi:type="dcterms:W3CDTF">2026-05-05T23:27:00Z</dcterms:created>
  <dcterms:modified xsi:type="dcterms:W3CDTF">2026-05-06T02:22:00Z</dcterms:modified>
</cp:coreProperties>
</file>