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108" w:type="dxa"/>
        <w:tblLayout w:type="autofit"/>
        <w:tblCellMar>
          <w:top w:w="0" w:type="dxa"/>
          <w:left w:w="0" w:type="dxa"/>
          <w:bottom w:w="0" w:type="dxa"/>
          <w:right w:w="0" w:type="dxa"/>
        </w:tblCellMar>
      </w:tblPr>
      <w:tblGrid>
        <w:gridCol w:w="3240"/>
        <w:gridCol w:w="6120"/>
      </w:tblGrid>
      <w:tr w14:paraId="26669216">
        <w:tblPrEx>
          <w:tblCellMar>
            <w:top w:w="0" w:type="dxa"/>
            <w:left w:w="0" w:type="dxa"/>
            <w:bottom w:w="0" w:type="dxa"/>
            <w:right w:w="0" w:type="dxa"/>
          </w:tblCellMar>
        </w:tblPrEx>
        <w:tc>
          <w:tcPr>
            <w:tcW w:w="3240" w:type="dxa"/>
            <w:noWrap w:val="0"/>
            <w:tcMar>
              <w:top w:w="0" w:type="dxa"/>
              <w:left w:w="108" w:type="dxa"/>
              <w:bottom w:w="0" w:type="dxa"/>
              <w:right w:w="108" w:type="dxa"/>
            </w:tcMar>
            <w:vAlign w:val="top"/>
          </w:tcPr>
          <w:p w14:paraId="1960A434">
            <w:pPr>
              <w:pStyle w:val="13"/>
              <w:spacing w:before="0" w:beforeAutospacing="0" w:after="0" w:afterAutospacing="0"/>
              <w:jc w:val="center"/>
              <w:rPr>
                <w:rFonts w:cs="Arial"/>
                <w:b/>
                <w:bCs/>
                <w:sz w:val="20"/>
              </w:rPr>
            </w:pPr>
            <w:r>
              <w:rPr>
                <w:rFonts w:cs="Arial"/>
                <w:b/>
                <w:bCs/>
                <w:sz w:val="20"/>
              </w:rPr>
              <w:t>QUỐC HỘI</w:t>
            </w:r>
            <w:r>
              <w:rPr>
                <w:rFonts w:cs="Arial"/>
                <w:b/>
                <w:bCs/>
                <w:sz w:val="20"/>
              </w:rPr>
              <w:br w:type="textWrapping"/>
            </w:r>
            <w:r>
              <w:rPr>
                <w:rFonts w:cs="Arial"/>
                <w:b/>
                <w:bCs/>
                <w:sz w:val="20"/>
              </w:rPr>
              <w:t>-------------</w:t>
            </w:r>
          </w:p>
          <w:p w14:paraId="2AF63EA9">
            <w:pPr>
              <w:pStyle w:val="13"/>
              <w:spacing w:before="0" w:beforeAutospacing="0" w:after="0" w:afterAutospacing="0"/>
              <w:jc w:val="center"/>
              <w:rPr>
                <w:rFonts w:cs="Arial"/>
                <w:sz w:val="20"/>
              </w:rPr>
            </w:pPr>
            <w:r>
              <w:rPr>
                <w:rFonts w:cs="Arial"/>
                <w:sz w:val="20"/>
              </w:rPr>
              <w:t>Luật số: 36/2013/QH13</w:t>
            </w:r>
          </w:p>
        </w:tc>
        <w:tc>
          <w:tcPr>
            <w:tcW w:w="6120" w:type="dxa"/>
            <w:noWrap w:val="0"/>
            <w:tcMar>
              <w:top w:w="0" w:type="dxa"/>
              <w:left w:w="108" w:type="dxa"/>
              <w:bottom w:w="0" w:type="dxa"/>
              <w:right w:w="108" w:type="dxa"/>
            </w:tcMar>
            <w:vAlign w:val="top"/>
          </w:tcPr>
          <w:p w14:paraId="051FB7AD">
            <w:pPr>
              <w:pStyle w:val="13"/>
              <w:spacing w:before="0" w:beforeAutospacing="0" w:after="0" w:afterAutospacing="0"/>
              <w:jc w:val="center"/>
              <w:rPr>
                <w:rFonts w:cs="Arial"/>
                <w:b/>
                <w:bCs/>
                <w:sz w:val="20"/>
              </w:rPr>
            </w:pPr>
            <w:r>
              <w:rPr>
                <w:rFonts w:cs="Arial"/>
                <w:b/>
                <w:bCs/>
                <w:sz w:val="20"/>
              </w:rPr>
              <w:t>CỘNG HÒA XÃ HỘI CHỦ NGHĨA VIỆT NAM</w:t>
            </w:r>
            <w:r>
              <w:rPr>
                <w:rFonts w:cs="Arial"/>
                <w:b/>
                <w:bCs/>
                <w:sz w:val="20"/>
              </w:rPr>
              <w:br w:type="textWrapping"/>
            </w:r>
            <w:r>
              <w:rPr>
                <w:rFonts w:cs="Arial"/>
                <w:b/>
                <w:bCs/>
                <w:sz w:val="20"/>
              </w:rPr>
              <w:t xml:space="preserve">Độc lập - Tự do - Hạnh phúc </w:t>
            </w:r>
            <w:r>
              <w:rPr>
                <w:rFonts w:cs="Arial"/>
                <w:b/>
                <w:bCs/>
                <w:sz w:val="20"/>
              </w:rPr>
              <w:br w:type="textWrapping"/>
            </w:r>
            <w:r>
              <w:rPr>
                <w:rFonts w:cs="Arial"/>
                <w:b/>
                <w:bCs/>
                <w:sz w:val="20"/>
              </w:rPr>
              <w:t>--------------------------</w:t>
            </w:r>
          </w:p>
          <w:p w14:paraId="7A201E3C">
            <w:pPr>
              <w:pStyle w:val="13"/>
              <w:spacing w:before="0" w:beforeAutospacing="0" w:after="0" w:afterAutospacing="0"/>
              <w:jc w:val="right"/>
              <w:rPr>
                <w:rFonts w:cs="Arial"/>
                <w:sz w:val="20"/>
              </w:rPr>
            </w:pPr>
          </w:p>
        </w:tc>
      </w:tr>
    </w:tbl>
    <w:p w14:paraId="78F31D74">
      <w:pPr>
        <w:pStyle w:val="13"/>
        <w:autoSpaceDE w:val="0"/>
        <w:autoSpaceDN w:val="0"/>
        <w:spacing w:before="0" w:beforeAutospacing="0" w:after="0" w:afterAutospacing="0"/>
        <w:rPr>
          <w:rFonts w:cs="Arial"/>
          <w:sz w:val="20"/>
        </w:rPr>
      </w:pPr>
    </w:p>
    <w:p w14:paraId="5613231B">
      <w:pPr>
        <w:pStyle w:val="13"/>
        <w:autoSpaceDE w:val="0"/>
        <w:autoSpaceDN w:val="0"/>
        <w:spacing w:before="0" w:beforeAutospacing="0" w:after="0" w:afterAutospacing="0"/>
        <w:rPr>
          <w:rFonts w:cs="Arial"/>
          <w:sz w:val="20"/>
        </w:rPr>
      </w:pPr>
      <w:r>
        <w:rPr>
          <w:rFonts w:cs="Arial"/>
          <w:sz w:val="20"/>
        </w:rPr>
        <w:t> </w:t>
      </w:r>
    </w:p>
    <w:p w14:paraId="5F98F7A7">
      <w:pPr>
        <w:pStyle w:val="13"/>
        <w:autoSpaceDE w:val="0"/>
        <w:autoSpaceDN w:val="0"/>
        <w:spacing w:before="0" w:beforeAutospacing="0" w:after="0" w:afterAutospacing="0"/>
        <w:jc w:val="center"/>
        <w:rPr>
          <w:rFonts w:cs="Arial"/>
          <w:sz w:val="20"/>
        </w:rPr>
      </w:pPr>
      <w:r>
        <w:rPr>
          <w:rFonts w:cs="Arial"/>
          <w:b/>
          <w:bCs/>
          <w:sz w:val="20"/>
        </w:rPr>
        <w:t>LUẬT</w:t>
      </w:r>
    </w:p>
    <w:p w14:paraId="33252324">
      <w:pPr>
        <w:pStyle w:val="13"/>
        <w:autoSpaceDE w:val="0"/>
        <w:autoSpaceDN w:val="0"/>
        <w:spacing w:before="0" w:beforeAutospacing="0" w:after="0" w:afterAutospacing="0"/>
        <w:jc w:val="center"/>
        <w:rPr>
          <w:rFonts w:cs="Arial"/>
          <w:b/>
          <w:sz w:val="20"/>
        </w:rPr>
      </w:pPr>
      <w:r>
        <w:rPr>
          <w:rFonts w:cs="Arial"/>
          <w:b/>
          <w:sz w:val="20"/>
        </w:rPr>
        <w:t>SỬA ĐỔI, BỔ SUNG MỘT SỐ ĐIỀU CỦA LUẬT CƯ TRÚ</w:t>
      </w:r>
    </w:p>
    <w:p w14:paraId="4DF9D326">
      <w:pPr>
        <w:pStyle w:val="13"/>
        <w:autoSpaceDE w:val="0"/>
        <w:autoSpaceDN w:val="0"/>
        <w:spacing w:before="0" w:beforeAutospacing="0" w:after="0" w:afterAutospacing="0"/>
        <w:jc w:val="center"/>
        <w:rPr>
          <w:rFonts w:cs="Arial"/>
          <w:b/>
          <w:sz w:val="20"/>
        </w:rPr>
      </w:pPr>
    </w:p>
    <w:p w14:paraId="5CF8399E">
      <w:pPr>
        <w:pStyle w:val="13"/>
        <w:autoSpaceDE w:val="0"/>
        <w:autoSpaceDN w:val="0"/>
        <w:spacing w:before="0" w:beforeAutospacing="0" w:after="0" w:afterAutospacing="0"/>
        <w:jc w:val="center"/>
        <w:rPr>
          <w:rFonts w:cs="Arial"/>
          <w:b/>
          <w:sz w:val="20"/>
        </w:rPr>
      </w:pPr>
    </w:p>
    <w:p w14:paraId="19EBB6C6">
      <w:pPr>
        <w:pStyle w:val="13"/>
        <w:autoSpaceDE w:val="0"/>
        <w:autoSpaceDN w:val="0"/>
        <w:spacing w:before="0" w:beforeAutospacing="0" w:after="120" w:afterAutospacing="0"/>
        <w:ind w:firstLine="720"/>
        <w:jc w:val="both"/>
        <w:rPr>
          <w:rFonts w:cs="Arial"/>
          <w:sz w:val="20"/>
        </w:rPr>
      </w:pPr>
      <w:r>
        <w:rPr>
          <w:rFonts w:cs="Arial"/>
          <w:i/>
          <w:iCs/>
          <w:sz w:val="20"/>
        </w:rPr>
        <w:t>Căn cứ Hiến pháp nước Cộng hòa xã hội chủ nghĩa Việt Nam năm 1992 đã được sửa đổi, bổ sung một số điều theo Nghị quyết số 51/2001/QH10;</w:t>
      </w:r>
    </w:p>
    <w:p w14:paraId="52114C5C">
      <w:pPr>
        <w:pStyle w:val="13"/>
        <w:autoSpaceDE w:val="0"/>
        <w:autoSpaceDN w:val="0"/>
        <w:spacing w:before="0" w:beforeAutospacing="0" w:after="120" w:afterAutospacing="0"/>
        <w:ind w:firstLine="720"/>
        <w:jc w:val="both"/>
        <w:rPr>
          <w:rFonts w:cs="Arial"/>
          <w:i/>
          <w:iCs/>
          <w:sz w:val="20"/>
        </w:rPr>
      </w:pPr>
      <w:r>
        <w:rPr>
          <w:rFonts w:cs="Arial"/>
          <w:i/>
          <w:iCs/>
          <w:sz w:val="20"/>
        </w:rPr>
        <w:t>Quốc hội ban hành Luật sửa đổi, bổ sung một số điều của Luật cư trú số 81/2006/QH11.</w:t>
      </w:r>
    </w:p>
    <w:p w14:paraId="23155069">
      <w:pPr>
        <w:pStyle w:val="13"/>
        <w:autoSpaceDE w:val="0"/>
        <w:autoSpaceDN w:val="0"/>
        <w:spacing w:before="0" w:beforeAutospacing="0" w:after="120" w:afterAutospacing="0"/>
        <w:ind w:firstLine="720"/>
        <w:jc w:val="both"/>
        <w:rPr>
          <w:rFonts w:cs="Arial"/>
          <w:sz w:val="20"/>
        </w:rPr>
      </w:pPr>
    </w:p>
    <w:p w14:paraId="3DA91792">
      <w:pPr>
        <w:pStyle w:val="13"/>
        <w:autoSpaceDE w:val="0"/>
        <w:autoSpaceDN w:val="0"/>
        <w:spacing w:before="0" w:beforeAutospacing="0" w:after="120" w:afterAutospacing="0"/>
        <w:ind w:firstLine="720"/>
        <w:jc w:val="both"/>
        <w:rPr>
          <w:rFonts w:hint="default" w:cs="Arial"/>
          <w:sz w:val="20"/>
          <w:lang w:val="en-US"/>
        </w:rPr>
      </w:pPr>
      <w:r>
        <w:rPr>
          <w:rFonts w:cs="Arial"/>
          <w:b/>
          <w:bCs/>
          <w:sz w:val="20"/>
        </w:rPr>
        <w:t>Điều 1</w:t>
      </w:r>
      <w:r>
        <w:rPr>
          <w:rFonts w:hint="default" w:cs="Arial"/>
          <w:b/>
          <w:bCs/>
          <w:sz w:val="20"/>
          <w:lang w:val="en-US"/>
        </w:rPr>
        <w:t>.</w:t>
      </w:r>
    </w:p>
    <w:p w14:paraId="641CECCC">
      <w:pPr>
        <w:pStyle w:val="13"/>
        <w:autoSpaceDE w:val="0"/>
        <w:autoSpaceDN w:val="0"/>
        <w:spacing w:before="0" w:beforeAutospacing="0" w:after="120" w:afterAutospacing="0"/>
        <w:ind w:firstLine="720"/>
        <w:jc w:val="both"/>
        <w:rPr>
          <w:rFonts w:cs="Arial"/>
          <w:sz w:val="20"/>
        </w:rPr>
      </w:pPr>
      <w:r>
        <w:rPr>
          <w:rFonts w:cs="Arial"/>
          <w:sz w:val="20"/>
        </w:rPr>
        <w:t>Sửa đổi, bổ sung một số điều của Luật cư trú:</w:t>
      </w:r>
    </w:p>
    <w:p w14:paraId="107198AC">
      <w:pPr>
        <w:pStyle w:val="13"/>
        <w:autoSpaceDE w:val="0"/>
        <w:autoSpaceDN w:val="0"/>
        <w:spacing w:before="0" w:beforeAutospacing="0" w:after="120" w:afterAutospacing="0"/>
        <w:ind w:firstLine="720"/>
        <w:jc w:val="both"/>
        <w:rPr>
          <w:rFonts w:cs="Arial"/>
          <w:sz w:val="20"/>
        </w:rPr>
      </w:pPr>
      <w:r>
        <w:rPr>
          <w:rFonts w:cs="Arial"/>
          <w:sz w:val="20"/>
        </w:rPr>
        <w:t>1. Sửa đổi, bổ sung khoản 8 Điều 8 và bổ sung khoản 10 và khoản 11 vào Điều 8 như sau:</w:t>
      </w:r>
    </w:p>
    <w:p w14:paraId="3CA3633D">
      <w:pPr>
        <w:pStyle w:val="13"/>
        <w:autoSpaceDE w:val="0"/>
        <w:autoSpaceDN w:val="0"/>
        <w:spacing w:before="0" w:beforeAutospacing="0" w:after="120" w:afterAutospacing="0"/>
        <w:ind w:firstLine="720"/>
        <w:jc w:val="both"/>
        <w:rPr>
          <w:rFonts w:cs="Arial"/>
          <w:sz w:val="20"/>
        </w:rPr>
      </w:pPr>
      <w:r>
        <w:rPr>
          <w:rFonts w:cs="Arial"/>
          <w:sz w:val="20"/>
        </w:rPr>
        <w:t> “8. Thuê, cho thuê, làm giả, sửa chữa, làm sai lệch nội dung sổ hộ khẩu, sổ tạm trú, giấy tờ khác có liên quan đến cư trú; sử dụng giấy tờ giả về cư trú; cung cấp thông tin, tài liệu sai sự thật về cư trú; giả mạo điều kiện để được đăng ký thường trú.”</w:t>
      </w:r>
    </w:p>
    <w:p w14:paraId="694B6DEF">
      <w:pPr>
        <w:pStyle w:val="13"/>
        <w:autoSpaceDE w:val="0"/>
        <w:autoSpaceDN w:val="0"/>
        <w:spacing w:before="0" w:beforeAutospacing="0" w:after="120" w:afterAutospacing="0"/>
        <w:ind w:firstLine="720"/>
        <w:jc w:val="both"/>
        <w:rPr>
          <w:rFonts w:cs="Arial"/>
          <w:sz w:val="20"/>
        </w:rPr>
      </w:pPr>
      <w:r>
        <w:rPr>
          <w:rFonts w:cs="Arial"/>
          <w:sz w:val="20"/>
        </w:rPr>
        <w:t> “10. Giải quyết cho đăng ký cư trú khi biết rõ người được cấp đăng ký cư trú không sinh sống tại chỗ ở đó.</w:t>
      </w:r>
    </w:p>
    <w:p w14:paraId="3D05B746">
      <w:pPr>
        <w:pStyle w:val="13"/>
        <w:autoSpaceDE w:val="0"/>
        <w:autoSpaceDN w:val="0"/>
        <w:spacing w:before="0" w:beforeAutospacing="0" w:after="120" w:afterAutospacing="0"/>
        <w:ind w:firstLine="720"/>
        <w:jc w:val="both"/>
        <w:rPr>
          <w:rFonts w:cs="Arial"/>
          <w:sz w:val="20"/>
        </w:rPr>
      </w:pPr>
      <w:r>
        <w:rPr>
          <w:rFonts w:cs="Arial"/>
          <w:sz w:val="20"/>
        </w:rPr>
        <w:t>11. Đồng ý cho người khác đăng ký cư trú vào chỗ ở của mình để vụ lợi hoặc trong thực tế người đăng ký cư trú không sinh sống tại chỗ ở đó.”</w:t>
      </w:r>
    </w:p>
    <w:p w14:paraId="13D9D872">
      <w:pPr>
        <w:pStyle w:val="13"/>
        <w:autoSpaceDE w:val="0"/>
        <w:autoSpaceDN w:val="0"/>
        <w:spacing w:before="0" w:beforeAutospacing="0" w:after="120" w:afterAutospacing="0"/>
        <w:ind w:firstLine="720"/>
        <w:jc w:val="both"/>
        <w:rPr>
          <w:rFonts w:cs="Arial"/>
          <w:sz w:val="20"/>
        </w:rPr>
      </w:pPr>
      <w:r>
        <w:rPr>
          <w:rFonts w:cs="Arial"/>
          <w:sz w:val="20"/>
        </w:rPr>
        <w:t>2. Điều 20 được sửa đổi, bổ sung như sau:</w:t>
      </w:r>
      <w:bookmarkStart w:id="0" w:name="_GoBack"/>
      <w:bookmarkEnd w:id="0"/>
    </w:p>
    <w:p w14:paraId="350E3AB7">
      <w:pPr>
        <w:pStyle w:val="13"/>
        <w:autoSpaceDE w:val="0"/>
        <w:autoSpaceDN w:val="0"/>
        <w:spacing w:before="0" w:beforeAutospacing="0" w:after="120" w:afterAutospacing="0"/>
        <w:ind w:firstLine="720"/>
        <w:jc w:val="both"/>
        <w:rPr>
          <w:rFonts w:cs="Arial"/>
          <w:sz w:val="20"/>
        </w:rPr>
      </w:pPr>
      <w:r>
        <w:rPr>
          <w:rFonts w:cs="Arial"/>
          <w:sz w:val="20"/>
        </w:rPr>
        <w:t> “</w:t>
      </w:r>
      <w:r>
        <w:rPr>
          <w:rFonts w:cs="Arial"/>
          <w:b/>
          <w:bCs/>
          <w:sz w:val="20"/>
        </w:rPr>
        <w:t>Điều 20. Điều kiện đăng ký thường trú tại thành phố trực thuộc trung ương</w:t>
      </w:r>
    </w:p>
    <w:p w14:paraId="6F70E0A0">
      <w:pPr>
        <w:pStyle w:val="13"/>
        <w:autoSpaceDE w:val="0"/>
        <w:autoSpaceDN w:val="0"/>
        <w:spacing w:before="0" w:beforeAutospacing="0" w:after="120" w:afterAutospacing="0"/>
        <w:ind w:firstLine="720"/>
        <w:jc w:val="both"/>
        <w:rPr>
          <w:rFonts w:cs="Arial"/>
          <w:sz w:val="20"/>
        </w:rPr>
      </w:pPr>
      <w:r>
        <w:rPr>
          <w:rFonts w:cs="Arial"/>
          <w:sz w:val="20"/>
        </w:rPr>
        <w:t>Công dân thuộc một trong những trường hợp sau đây thì được đăng ký thường trú tại thành phố trực thuộc trung ương:</w:t>
      </w:r>
    </w:p>
    <w:p w14:paraId="093547E5">
      <w:pPr>
        <w:pStyle w:val="13"/>
        <w:autoSpaceDE w:val="0"/>
        <w:autoSpaceDN w:val="0"/>
        <w:spacing w:before="0" w:beforeAutospacing="0" w:after="120" w:afterAutospacing="0"/>
        <w:ind w:firstLine="720"/>
        <w:jc w:val="both"/>
        <w:rPr>
          <w:rFonts w:cs="Arial"/>
          <w:sz w:val="20"/>
        </w:rPr>
      </w:pPr>
      <w:r>
        <w:rPr>
          <w:rFonts w:cs="Arial"/>
          <w:sz w:val="20"/>
        </w:rPr>
        <w:t>1. Có chỗ ở hợp pháp, trường hợp đăng ký thường trú vào huyện, thị xã thuộc thành phố trực thuộc trung ương thì phải có thời gian tạm trú tại thành phố đó từ một năm trở lên, trường hợp đăng ký thường trú vào quận thuộc thành phố trực thuộc trung ương thì phải có thời gian tạm trú tại thành phố đó từ hai năm trở lên;</w:t>
      </w:r>
    </w:p>
    <w:p w14:paraId="7F76DF1A">
      <w:pPr>
        <w:pStyle w:val="13"/>
        <w:autoSpaceDE w:val="0"/>
        <w:autoSpaceDN w:val="0"/>
        <w:spacing w:before="0" w:beforeAutospacing="0" w:after="120" w:afterAutospacing="0"/>
        <w:ind w:firstLine="720"/>
        <w:jc w:val="both"/>
        <w:rPr>
          <w:rFonts w:cs="Arial"/>
          <w:sz w:val="20"/>
        </w:rPr>
      </w:pPr>
      <w:r>
        <w:rPr>
          <w:rFonts w:cs="Arial"/>
          <w:sz w:val="20"/>
        </w:rPr>
        <w:t>2. Được người có sổ hộ khẩu đồng ý cho nhập vào sổ hộ khẩu của mình nếu thuộc một trong các trường hợp sau đây:</w:t>
      </w:r>
    </w:p>
    <w:p w14:paraId="434663D2">
      <w:pPr>
        <w:pStyle w:val="13"/>
        <w:autoSpaceDE w:val="0"/>
        <w:autoSpaceDN w:val="0"/>
        <w:spacing w:before="0" w:beforeAutospacing="0" w:after="120" w:afterAutospacing="0"/>
        <w:ind w:firstLine="720"/>
        <w:jc w:val="both"/>
        <w:rPr>
          <w:rFonts w:cs="Arial"/>
          <w:sz w:val="20"/>
        </w:rPr>
      </w:pPr>
      <w:r>
        <w:rPr>
          <w:rFonts w:cs="Arial"/>
          <w:sz w:val="20"/>
        </w:rPr>
        <w:t>a) Vợ về ở với chồng; chồng về ở với vợ; con về ở với cha, mẹ; cha, mẹ về ở với con;</w:t>
      </w:r>
    </w:p>
    <w:p w14:paraId="1F0D43AE">
      <w:pPr>
        <w:pStyle w:val="13"/>
        <w:autoSpaceDE w:val="0"/>
        <w:autoSpaceDN w:val="0"/>
        <w:spacing w:before="0" w:beforeAutospacing="0" w:after="120" w:afterAutospacing="0"/>
        <w:ind w:firstLine="720"/>
        <w:jc w:val="both"/>
        <w:rPr>
          <w:rFonts w:cs="Arial"/>
          <w:sz w:val="20"/>
        </w:rPr>
      </w:pPr>
      <w:r>
        <w:rPr>
          <w:rFonts w:cs="Arial"/>
          <w:sz w:val="20"/>
        </w:rPr>
        <w:t>b) Người hết tuổi lao động, nghỉ hưu, nghỉ mất sức, nghỉ thôi việc về ở với anh, chị, em ruột;</w:t>
      </w:r>
    </w:p>
    <w:p w14:paraId="056E26A9">
      <w:pPr>
        <w:pStyle w:val="13"/>
        <w:autoSpaceDE w:val="0"/>
        <w:autoSpaceDN w:val="0"/>
        <w:spacing w:before="0" w:beforeAutospacing="0" w:after="120" w:afterAutospacing="0"/>
        <w:ind w:firstLine="720"/>
        <w:jc w:val="both"/>
        <w:rPr>
          <w:rFonts w:cs="Arial"/>
          <w:sz w:val="20"/>
        </w:rPr>
      </w:pPr>
      <w:r>
        <w:rPr>
          <w:rFonts w:cs="Arial"/>
          <w:sz w:val="20"/>
        </w:rPr>
        <w:t xml:space="preserve">c) Người khuyết tật, mất khả năng lao động, người bị bệnh tâm thần hoặc bệnh khác làm mất khả năng nhận thức, khả năng điều khiển hành vi về ở với anh, chị, em ruột, cô, dì, chú, bác, cậu ruột, người giám hộ; </w:t>
      </w:r>
    </w:p>
    <w:p w14:paraId="27E8558E">
      <w:pPr>
        <w:pStyle w:val="13"/>
        <w:autoSpaceDE w:val="0"/>
        <w:autoSpaceDN w:val="0"/>
        <w:spacing w:before="0" w:beforeAutospacing="0" w:after="120" w:afterAutospacing="0"/>
        <w:ind w:firstLine="720"/>
        <w:jc w:val="both"/>
        <w:rPr>
          <w:rFonts w:cs="Arial"/>
          <w:sz w:val="20"/>
        </w:rPr>
      </w:pPr>
      <w:r>
        <w:rPr>
          <w:rFonts w:cs="Arial"/>
          <w:sz w:val="20"/>
        </w:rPr>
        <w:t>d) Người chưa thành niên không còn cha, mẹ hoặc còn cha, mẹ nhưng cha, mẹ không có khả năng nuôi dưỡng về ở với ông, bà nội, ngoại, anh, chị, em ruột, cô, dì, chú, bác, cậu ruột, người giám hộ;</w:t>
      </w:r>
    </w:p>
    <w:p w14:paraId="2F37AF8C">
      <w:pPr>
        <w:pStyle w:val="13"/>
        <w:autoSpaceDE w:val="0"/>
        <w:autoSpaceDN w:val="0"/>
        <w:spacing w:before="0" w:beforeAutospacing="0" w:after="120" w:afterAutospacing="0"/>
        <w:ind w:firstLine="720"/>
        <w:jc w:val="both"/>
        <w:rPr>
          <w:rFonts w:cs="Arial"/>
          <w:sz w:val="20"/>
        </w:rPr>
      </w:pPr>
      <w:r>
        <w:rPr>
          <w:rFonts w:cs="Arial"/>
          <w:sz w:val="20"/>
        </w:rPr>
        <w:t>đ) Người thành niên độc thân về ở với ông, bà nội, ngoại, anh, chị, em ruột, cô, dì, chú, bác, cậu ruột;</w:t>
      </w:r>
    </w:p>
    <w:p w14:paraId="3E8866A7">
      <w:pPr>
        <w:pStyle w:val="13"/>
        <w:autoSpaceDE w:val="0"/>
        <w:autoSpaceDN w:val="0"/>
        <w:spacing w:before="0" w:beforeAutospacing="0" w:after="120" w:afterAutospacing="0"/>
        <w:ind w:firstLine="720"/>
        <w:jc w:val="both"/>
        <w:rPr>
          <w:rFonts w:cs="Arial"/>
          <w:sz w:val="20"/>
        </w:rPr>
      </w:pPr>
      <w:r>
        <w:rPr>
          <w:rFonts w:cs="Arial"/>
          <w:sz w:val="20"/>
        </w:rPr>
        <w:t>e) Ông bà nội, ngoại về ở với cháu ruột;</w:t>
      </w:r>
    </w:p>
    <w:p w14:paraId="5BB63BE2">
      <w:pPr>
        <w:pStyle w:val="13"/>
        <w:autoSpaceDE w:val="0"/>
        <w:autoSpaceDN w:val="0"/>
        <w:spacing w:before="0" w:beforeAutospacing="0" w:after="120" w:afterAutospacing="0"/>
        <w:ind w:firstLine="720"/>
        <w:jc w:val="both"/>
        <w:rPr>
          <w:rFonts w:cs="Arial"/>
          <w:sz w:val="20"/>
        </w:rPr>
      </w:pPr>
      <w:r>
        <w:rPr>
          <w:rFonts w:cs="Arial"/>
          <w:sz w:val="20"/>
        </w:rPr>
        <w:t>3. Được điều động, tuyển dụng đến làm việc tại cơ quan, tổ chức hưởng lương từ ngân sách nhà nước hoặc theo chế độ hợp đồng không xác định thời hạn và có chỗ ở hợp pháp;</w:t>
      </w:r>
    </w:p>
    <w:p w14:paraId="1E42A28D">
      <w:pPr>
        <w:pStyle w:val="13"/>
        <w:autoSpaceDE w:val="0"/>
        <w:autoSpaceDN w:val="0"/>
        <w:spacing w:before="0" w:beforeAutospacing="0" w:after="120" w:afterAutospacing="0"/>
        <w:ind w:firstLine="720"/>
        <w:jc w:val="both"/>
        <w:rPr>
          <w:rFonts w:cs="Arial"/>
          <w:sz w:val="20"/>
        </w:rPr>
      </w:pPr>
      <w:r>
        <w:rPr>
          <w:rFonts w:cs="Arial"/>
          <w:sz w:val="20"/>
        </w:rPr>
        <w:t>4. Trước đây đã đăng ký thường trú tại thành phố trực thuộc trung ương, nay trở về thành phố đó sinh sống tại chỗ ở hợp pháp của mình;</w:t>
      </w:r>
    </w:p>
    <w:p w14:paraId="4C743CC2">
      <w:pPr>
        <w:pStyle w:val="13"/>
        <w:autoSpaceDE w:val="0"/>
        <w:autoSpaceDN w:val="0"/>
        <w:spacing w:before="0" w:beforeAutospacing="0" w:after="120" w:afterAutospacing="0"/>
        <w:ind w:firstLine="720"/>
        <w:jc w:val="both"/>
        <w:rPr>
          <w:rFonts w:cs="Arial"/>
          <w:sz w:val="20"/>
        </w:rPr>
      </w:pPr>
      <w:r>
        <w:rPr>
          <w:rFonts w:cs="Arial"/>
          <w:sz w:val="20"/>
        </w:rPr>
        <w:t>5. Trường hợp quy định tại các khoản 1, 3 và 4 Điều này đăng ký thường trú vào chỗ ở hợp pháp do thuê, mượn, ở nhờ của cá nhân, tổ chức thì phải có đủ các điều kiện sau đây:</w:t>
      </w:r>
    </w:p>
    <w:p w14:paraId="2B7F8C3F">
      <w:pPr>
        <w:pStyle w:val="13"/>
        <w:autoSpaceDE w:val="0"/>
        <w:autoSpaceDN w:val="0"/>
        <w:spacing w:before="0" w:beforeAutospacing="0" w:after="120" w:afterAutospacing="0"/>
        <w:ind w:firstLine="720"/>
        <w:jc w:val="both"/>
        <w:rPr>
          <w:rFonts w:cs="Arial"/>
          <w:sz w:val="20"/>
        </w:rPr>
      </w:pPr>
      <w:r>
        <w:rPr>
          <w:rFonts w:cs="Arial"/>
          <w:sz w:val="20"/>
        </w:rPr>
        <w:t>a) Bảo đảm điều kiện về diện tích bình quân theo quy định của Hội đồng nhân dân thành phố;</w:t>
      </w:r>
    </w:p>
    <w:p w14:paraId="5971DC84">
      <w:pPr>
        <w:pStyle w:val="13"/>
        <w:autoSpaceDE w:val="0"/>
        <w:autoSpaceDN w:val="0"/>
        <w:spacing w:before="0" w:beforeAutospacing="0" w:after="120" w:afterAutospacing="0"/>
        <w:ind w:firstLine="720"/>
        <w:jc w:val="both"/>
        <w:rPr>
          <w:rFonts w:cs="Arial"/>
          <w:sz w:val="20"/>
        </w:rPr>
      </w:pPr>
      <w:r>
        <w:rPr>
          <w:rFonts w:cs="Arial"/>
          <w:sz w:val="20"/>
        </w:rPr>
        <w:t>b) Có xác nhận của Ủy ban nhân dân xã, phường, thị trấn về điều kiện diện tích bình quân;</w:t>
      </w:r>
    </w:p>
    <w:p w14:paraId="418DDA29">
      <w:pPr>
        <w:pStyle w:val="13"/>
        <w:autoSpaceDE w:val="0"/>
        <w:autoSpaceDN w:val="0"/>
        <w:spacing w:before="0" w:beforeAutospacing="0" w:after="120" w:afterAutospacing="0"/>
        <w:ind w:firstLine="720"/>
        <w:jc w:val="both"/>
        <w:rPr>
          <w:rFonts w:cs="Arial"/>
          <w:sz w:val="20"/>
        </w:rPr>
      </w:pPr>
      <w:r>
        <w:rPr>
          <w:rFonts w:cs="Arial"/>
          <w:sz w:val="20"/>
        </w:rPr>
        <w:t>c) Được người cho thuê, cho mượn, cho ở nhờ đồng ý bằng văn bản;</w:t>
      </w:r>
    </w:p>
    <w:p w14:paraId="4188348A">
      <w:pPr>
        <w:pStyle w:val="13"/>
        <w:autoSpaceDE w:val="0"/>
        <w:autoSpaceDN w:val="0"/>
        <w:spacing w:before="0" w:beforeAutospacing="0" w:after="120" w:afterAutospacing="0"/>
        <w:ind w:firstLine="720"/>
        <w:jc w:val="both"/>
        <w:rPr>
          <w:rFonts w:cs="Arial"/>
          <w:sz w:val="20"/>
        </w:rPr>
      </w:pPr>
      <w:r>
        <w:rPr>
          <w:rFonts w:cs="Arial"/>
          <w:sz w:val="20"/>
        </w:rPr>
        <w:t>6. Việc đăng ký thường trú vào nội thành thành phố Hà Nội thực hiện theo quy định tại khoản 4 Điều 19 của Luật Thủ đô.”</w:t>
      </w:r>
    </w:p>
    <w:p w14:paraId="32A4D07D">
      <w:pPr>
        <w:pStyle w:val="13"/>
        <w:autoSpaceDE w:val="0"/>
        <w:autoSpaceDN w:val="0"/>
        <w:spacing w:before="0" w:beforeAutospacing="0" w:after="120" w:afterAutospacing="0"/>
        <w:ind w:firstLine="720"/>
        <w:jc w:val="both"/>
        <w:rPr>
          <w:rFonts w:cs="Arial"/>
          <w:sz w:val="20"/>
        </w:rPr>
      </w:pPr>
      <w:r>
        <w:rPr>
          <w:rFonts w:cs="Arial"/>
          <w:sz w:val="20"/>
        </w:rPr>
        <w:t>3. Khoản 1 Điều 23 được sửa đổi, bổ sung như sau:</w:t>
      </w:r>
    </w:p>
    <w:p w14:paraId="29B547E2">
      <w:pPr>
        <w:pStyle w:val="13"/>
        <w:autoSpaceDE w:val="0"/>
        <w:autoSpaceDN w:val="0"/>
        <w:spacing w:before="0" w:beforeAutospacing="0" w:after="120" w:afterAutospacing="0"/>
        <w:ind w:firstLine="720"/>
        <w:jc w:val="both"/>
        <w:rPr>
          <w:rFonts w:cs="Arial"/>
          <w:sz w:val="20"/>
        </w:rPr>
      </w:pPr>
      <w:r>
        <w:rPr>
          <w:rFonts w:cs="Arial"/>
          <w:sz w:val="20"/>
        </w:rPr>
        <w:t> “1. Người đã đăng ký thường trú mà thay đổi chỗ ở hợp pháp, khi chuyển đến chỗ ở hợp pháp mới nếu có đủ điều kiện đăng ký thường trú thì trong thời hạn mười hai tháng có trách nhiệm làm thủ tục thay đổi nơi đăng ký thường trú.”</w:t>
      </w:r>
    </w:p>
    <w:p w14:paraId="20D392EF">
      <w:pPr>
        <w:pStyle w:val="13"/>
        <w:autoSpaceDE w:val="0"/>
        <w:autoSpaceDN w:val="0"/>
        <w:spacing w:before="0" w:beforeAutospacing="0" w:after="120" w:afterAutospacing="0"/>
        <w:ind w:firstLine="720"/>
        <w:jc w:val="both"/>
        <w:rPr>
          <w:rFonts w:cs="Arial"/>
          <w:sz w:val="20"/>
        </w:rPr>
      </w:pPr>
      <w:r>
        <w:rPr>
          <w:rFonts w:cs="Arial"/>
          <w:sz w:val="20"/>
        </w:rPr>
        <w:t>4. Khoản 4 Điều 30 được sửa đổi, bổ sung như sau:</w:t>
      </w:r>
    </w:p>
    <w:p w14:paraId="2A10C6CD">
      <w:pPr>
        <w:pStyle w:val="13"/>
        <w:autoSpaceDE w:val="0"/>
        <w:autoSpaceDN w:val="0"/>
        <w:spacing w:before="0" w:beforeAutospacing="0" w:after="120" w:afterAutospacing="0"/>
        <w:ind w:firstLine="720"/>
        <w:jc w:val="both"/>
        <w:rPr>
          <w:rFonts w:cs="Arial"/>
          <w:sz w:val="20"/>
        </w:rPr>
      </w:pPr>
      <w:r>
        <w:rPr>
          <w:rFonts w:cs="Arial"/>
          <w:sz w:val="20"/>
        </w:rPr>
        <w:t> “4. Trưởng Công an xã, phường, thị trấn trong thời hạn ba ngày làm việc, kể từ ngày nhận đủ giấy tờ quy định tại khoản 3 Điều này phải cấp sổ tạm trú theo mẫu quy định của Bộ Công an.</w:t>
      </w:r>
    </w:p>
    <w:p w14:paraId="405FE112">
      <w:pPr>
        <w:pStyle w:val="13"/>
        <w:autoSpaceDE w:val="0"/>
        <w:autoSpaceDN w:val="0"/>
        <w:spacing w:before="0" w:beforeAutospacing="0" w:after="120" w:afterAutospacing="0"/>
        <w:ind w:firstLine="720"/>
        <w:jc w:val="both"/>
        <w:rPr>
          <w:rFonts w:cs="Arial"/>
          <w:sz w:val="20"/>
        </w:rPr>
      </w:pPr>
      <w:r>
        <w:rPr>
          <w:rFonts w:cs="Arial"/>
          <w:sz w:val="20"/>
        </w:rPr>
        <w:t>Sổ tạm trú được cấp cho hộ gia đình hoặc cá nhân đã đăng ký tạm trú, có giá trị xác định nơi tạm trú của công dân và có thời hạn tối đa là hai mươi bốn tháng. Trong thời hạn ba mươi ngày trước ngày hết thời hạn tạm trú, công dân đến cơ quan Công an nơi cấp sổ tạm trú để làm thủ tục gia hạn.</w:t>
      </w:r>
    </w:p>
    <w:p w14:paraId="3BDD278A">
      <w:pPr>
        <w:pStyle w:val="13"/>
        <w:autoSpaceDE w:val="0"/>
        <w:autoSpaceDN w:val="0"/>
        <w:spacing w:before="0" w:beforeAutospacing="0" w:after="120" w:afterAutospacing="0"/>
        <w:ind w:firstLine="720"/>
        <w:jc w:val="both"/>
        <w:rPr>
          <w:rFonts w:cs="Arial"/>
          <w:sz w:val="20"/>
        </w:rPr>
      </w:pPr>
      <w:r>
        <w:rPr>
          <w:rFonts w:cs="Arial"/>
          <w:sz w:val="20"/>
        </w:rPr>
        <w:t>Việc điều chỉnh thay đổi về sổ tạm trú được thực hiện theo quy định tại Điều 29 của Luật này. Sổ tạm trú bị hư hỏng thì được đổi, bị mất thì được cấp lại. Trường hợp đến tạm trú tại xã, phường, thị trấn khác thì phải đăng ký lại.”</w:t>
      </w:r>
    </w:p>
    <w:p w14:paraId="21C74549">
      <w:pPr>
        <w:pStyle w:val="13"/>
        <w:autoSpaceDE w:val="0"/>
        <w:autoSpaceDN w:val="0"/>
        <w:spacing w:before="0" w:beforeAutospacing="0" w:after="120" w:afterAutospacing="0"/>
        <w:ind w:firstLine="720"/>
        <w:jc w:val="both"/>
        <w:rPr>
          <w:rFonts w:cs="Arial"/>
          <w:sz w:val="20"/>
        </w:rPr>
      </w:pPr>
      <w:r>
        <w:rPr>
          <w:rFonts w:cs="Arial"/>
          <w:sz w:val="20"/>
        </w:rPr>
        <w:t>5. Khoản 2 Điều 31 được sửa đổi, bổ sung như sau:</w:t>
      </w:r>
    </w:p>
    <w:p w14:paraId="05B61E82">
      <w:pPr>
        <w:pStyle w:val="13"/>
        <w:autoSpaceDE w:val="0"/>
        <w:autoSpaceDN w:val="0"/>
        <w:spacing w:before="0" w:beforeAutospacing="0" w:after="120" w:afterAutospacing="0"/>
        <w:ind w:firstLine="720"/>
        <w:jc w:val="both"/>
        <w:rPr>
          <w:rFonts w:cs="Arial"/>
          <w:sz w:val="20"/>
        </w:rPr>
      </w:pPr>
      <w:r>
        <w:rPr>
          <w:rFonts w:cs="Arial"/>
          <w:sz w:val="20"/>
        </w:rPr>
        <w:t> “2. Đại diện gia đình, nhà ở tập thể, cơ sở chữa bệnh, khách sạn, nhà nghỉ, cơ sở khác khi có người đến lưu trú có trách nhiệm thông báo việc lưu trú với Công an xã, phường, thị trấn; trường hợp người đến lưu trú tại nhà ở của gia đình, nhà ở tập thể mà chủ gia đình, nhà ở tập thể đó không đăng ký thường trú tại địa bàn xã, phường, thị trấn đó thì người đến lưu trú có trách nhiệm thông báo việc lưu trú với Công an xã, phường, thị trấn. Việc thông báo lưu trú được thực hiện trực tiếp hoặc bằng điện thoại hoặc qua mạng Internet, mạng máy tính. Công an xã, phường, thị trấn có trách nhiệm thông báo địa điểm, địa chỉ mạng Internet, địa chỉ mạng máy tính, số điện thoại nơi tiếp nhận thông báo lưu trú cho nhân dân biết.”</w:t>
      </w:r>
    </w:p>
    <w:p w14:paraId="23C1C5FF">
      <w:pPr>
        <w:pStyle w:val="13"/>
        <w:autoSpaceDE w:val="0"/>
        <w:autoSpaceDN w:val="0"/>
        <w:spacing w:before="0" w:beforeAutospacing="0" w:after="120" w:afterAutospacing="0"/>
        <w:ind w:firstLine="720"/>
        <w:jc w:val="both"/>
        <w:rPr>
          <w:rFonts w:hint="default" w:cs="Arial"/>
          <w:sz w:val="20"/>
          <w:lang w:val="en-US"/>
        </w:rPr>
      </w:pPr>
      <w:r>
        <w:rPr>
          <w:rFonts w:cs="Arial"/>
          <w:b/>
          <w:bCs/>
          <w:sz w:val="20"/>
        </w:rPr>
        <w:t>Điều 2</w:t>
      </w:r>
      <w:r>
        <w:rPr>
          <w:rFonts w:hint="default" w:cs="Arial"/>
          <w:b/>
          <w:bCs/>
          <w:sz w:val="20"/>
          <w:lang w:val="en-US"/>
        </w:rPr>
        <w:t>.</w:t>
      </w:r>
    </w:p>
    <w:p w14:paraId="24C02A33">
      <w:pPr>
        <w:pStyle w:val="13"/>
        <w:autoSpaceDE w:val="0"/>
        <w:autoSpaceDN w:val="0"/>
        <w:spacing w:before="0" w:beforeAutospacing="0" w:after="120" w:afterAutospacing="0"/>
        <w:ind w:firstLine="720"/>
        <w:jc w:val="both"/>
        <w:rPr>
          <w:rFonts w:cs="Arial"/>
          <w:sz w:val="20"/>
        </w:rPr>
      </w:pPr>
      <w:r>
        <w:rPr>
          <w:rFonts w:cs="Arial"/>
          <w:sz w:val="20"/>
        </w:rPr>
        <w:t>Luật này có hiệu lực thi hành từ ngày 01 tháng 01 năm 2014.</w:t>
      </w:r>
    </w:p>
    <w:p w14:paraId="0B8D6695">
      <w:pPr>
        <w:pStyle w:val="13"/>
        <w:autoSpaceDE w:val="0"/>
        <w:autoSpaceDN w:val="0"/>
        <w:spacing w:before="0" w:beforeAutospacing="0" w:after="0" w:afterAutospacing="0"/>
        <w:rPr>
          <w:rFonts w:cs="Arial"/>
          <w:sz w:val="20"/>
        </w:rPr>
      </w:pPr>
      <w:r>
        <w:rPr>
          <w:rFonts w:cs="Arial"/>
          <w:sz w:val="20"/>
        </w:rPr>
        <w:t> </w:t>
      </w:r>
    </w:p>
    <w:tbl>
      <w:tblPr>
        <w:tblStyle w:val="7"/>
        <w:tblW w:w="0" w:type="auto"/>
        <w:tblInd w:w="108" w:type="dxa"/>
        <w:tblLayout w:type="autofit"/>
        <w:tblCellMar>
          <w:top w:w="0" w:type="dxa"/>
          <w:left w:w="0" w:type="dxa"/>
          <w:bottom w:w="0" w:type="dxa"/>
          <w:right w:w="0" w:type="dxa"/>
        </w:tblCellMar>
      </w:tblPr>
      <w:tblGrid>
        <w:gridCol w:w="4200"/>
        <w:gridCol w:w="5160"/>
      </w:tblGrid>
      <w:tr w14:paraId="6D7947AC">
        <w:tblPrEx>
          <w:tblCellMar>
            <w:top w:w="0" w:type="dxa"/>
            <w:left w:w="0" w:type="dxa"/>
            <w:bottom w:w="0" w:type="dxa"/>
            <w:right w:w="0" w:type="dxa"/>
          </w:tblCellMar>
        </w:tblPrEx>
        <w:tc>
          <w:tcPr>
            <w:tcW w:w="4200" w:type="dxa"/>
            <w:noWrap w:val="0"/>
            <w:tcMar>
              <w:top w:w="0" w:type="dxa"/>
              <w:left w:w="108" w:type="dxa"/>
              <w:bottom w:w="0" w:type="dxa"/>
              <w:right w:w="108" w:type="dxa"/>
            </w:tcMar>
            <w:vAlign w:val="top"/>
          </w:tcPr>
          <w:p w14:paraId="43E79756">
            <w:pPr>
              <w:pStyle w:val="13"/>
              <w:spacing w:before="0" w:beforeAutospacing="0" w:after="0" w:afterAutospacing="0"/>
              <w:rPr>
                <w:rFonts w:cs="Arial"/>
                <w:sz w:val="20"/>
              </w:rPr>
            </w:pPr>
            <w:r>
              <w:rPr>
                <w:rFonts w:cs="Arial"/>
                <w:b/>
                <w:bCs/>
                <w:sz w:val="20"/>
              </w:rPr>
              <w:t> </w:t>
            </w:r>
          </w:p>
        </w:tc>
        <w:tc>
          <w:tcPr>
            <w:tcW w:w="5160" w:type="dxa"/>
            <w:noWrap w:val="0"/>
            <w:tcMar>
              <w:top w:w="0" w:type="dxa"/>
              <w:left w:w="108" w:type="dxa"/>
              <w:bottom w:w="0" w:type="dxa"/>
              <w:right w:w="108" w:type="dxa"/>
            </w:tcMar>
            <w:vAlign w:val="top"/>
          </w:tcPr>
          <w:p w14:paraId="0BF6250A">
            <w:pPr>
              <w:pStyle w:val="13"/>
              <w:spacing w:before="0" w:beforeAutospacing="0" w:after="0" w:afterAutospacing="0"/>
              <w:jc w:val="center"/>
              <w:rPr>
                <w:rFonts w:cs="Arial"/>
                <w:sz w:val="20"/>
              </w:rPr>
            </w:pPr>
            <w:r>
              <w:rPr>
                <w:rFonts w:cs="Arial"/>
                <w:b/>
                <w:bCs/>
                <w:sz w:val="20"/>
              </w:rPr>
              <w:t>CHỦ TỊCH QUÔC HỘI</w:t>
            </w:r>
            <w:r>
              <w:rPr>
                <w:rFonts w:cs="Arial"/>
                <w:b/>
                <w:bCs/>
                <w:sz w:val="20"/>
              </w:rPr>
              <w:br w:type="textWrapping"/>
            </w:r>
            <w:r>
              <w:rPr>
                <w:rFonts w:cs="Arial"/>
                <w:b/>
                <w:bCs/>
                <w:sz w:val="20"/>
              </w:rPr>
              <w:br w:type="textWrapping"/>
            </w:r>
            <w:r>
              <w:rPr>
                <w:rFonts w:cs="Arial"/>
                <w:b/>
                <w:bCs/>
                <w:sz w:val="20"/>
              </w:rPr>
              <w:br w:type="textWrapping"/>
            </w:r>
            <w:r>
              <w:rPr>
                <w:rFonts w:cs="Arial"/>
                <w:b/>
                <w:bCs/>
                <w:sz w:val="20"/>
              </w:rPr>
              <w:br w:type="textWrapping"/>
            </w:r>
            <w:r>
              <w:rPr>
                <w:rFonts w:cs="Arial"/>
                <w:b/>
                <w:bCs/>
                <w:sz w:val="20"/>
              </w:rPr>
              <w:br w:type="textWrapping"/>
            </w:r>
            <w:r>
              <w:rPr>
                <w:rFonts w:cs="Arial"/>
                <w:b/>
                <w:bCs/>
                <w:sz w:val="20"/>
              </w:rPr>
              <w:t>Nguyễn Sinh Hùng</w:t>
            </w:r>
          </w:p>
        </w:tc>
      </w:tr>
    </w:tbl>
    <w:p w14:paraId="25607E88">
      <w:pPr>
        <w:pStyle w:val="13"/>
        <w:autoSpaceDE w:val="0"/>
        <w:autoSpaceDN w:val="0"/>
        <w:spacing w:before="0" w:beforeAutospacing="0" w:after="0" w:afterAutospacing="0"/>
        <w:rPr>
          <w:rFonts w:cs="Arial"/>
          <w:sz w:val="20"/>
        </w:rPr>
      </w:pPr>
      <w:r>
        <w:rPr>
          <w:rFonts w:cs="Arial"/>
          <w:sz w:val="20"/>
        </w:rPr>
        <w:t> </w:t>
      </w:r>
    </w:p>
    <w:p w14:paraId="751C7003">
      <w:pPr>
        <w:pStyle w:val="13"/>
        <w:autoSpaceDE w:val="0"/>
        <w:autoSpaceDN w:val="0"/>
        <w:spacing w:before="0" w:beforeAutospacing="0" w:after="0" w:afterAutospacing="0"/>
        <w:rPr>
          <w:rFonts w:cs="Arial"/>
          <w:sz w:val="20"/>
        </w:rPr>
      </w:pPr>
      <w:r>
        <w:rPr>
          <w:rFonts w:cs="Arial"/>
          <w:sz w:val="20"/>
        </w:rPr>
        <w:t> </w:t>
      </w:r>
    </w:p>
    <w:p w14:paraId="38797521">
      <w:pPr>
        <w:rPr>
          <w:rFonts w:cs="Arial"/>
          <w:sz w:val="20"/>
        </w:rPr>
      </w:pPr>
    </w:p>
    <w:sectPr>
      <w:footerReference r:id="rId3" w:type="default"/>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Segoe Print"/>
    <w:panose1 w:val="020B7200000000000000"/>
    <w:charset w:val="00"/>
    <w:family w:val="swiss"/>
    <w:pitch w:val="default"/>
    <w:sig w:usb0="00000000" w:usb1="00000000" w:usb2="00000000" w:usb3="00000000" w:csb0="00000001" w:csb1="00000000"/>
  </w:font>
  <w:font w:name=".VnTimeH">
    <w:altName w:val="Segoe Print"/>
    <w:panose1 w:val="020B72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0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B5D11E">
    <w:pPr>
      <w:pStyle w:val="11"/>
    </w:pPr>
    <w:r>
      <w:drawing>
        <wp:inline distT="0" distB="0" distL="114300" distR="114300">
          <wp:extent cx="5934075" cy="737235"/>
          <wp:effectExtent l="0" t="0" r="9525" b="9525"/>
          <wp:docPr id="1" name="Picture 1" descr="Footer_fi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ter_file word"/>
                  <pic:cNvPicPr>
                    <a:picLocks noChangeAspect="1"/>
                  </pic:cNvPicPr>
                </pic:nvPicPr>
                <pic:blipFill>
                  <a:blip r:embed="rId1"/>
                  <a:stretch>
                    <a:fillRect/>
                  </a:stretch>
                </pic:blipFill>
                <pic:spPr>
                  <a:xfrm>
                    <a:off x="0" y="0"/>
                    <a:ext cx="5934075" cy="737235"/>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D2E8A"/>
    <w:rsid w:val="000D2FE9"/>
    <w:rsid w:val="00106246"/>
    <w:rsid w:val="00106DC7"/>
    <w:rsid w:val="00116018"/>
    <w:rsid w:val="001C5873"/>
    <w:rsid w:val="002309D2"/>
    <w:rsid w:val="00255FD2"/>
    <w:rsid w:val="00291234"/>
    <w:rsid w:val="0031309C"/>
    <w:rsid w:val="003253E8"/>
    <w:rsid w:val="00386888"/>
    <w:rsid w:val="00391330"/>
    <w:rsid w:val="0039176C"/>
    <w:rsid w:val="003A6991"/>
    <w:rsid w:val="003B145F"/>
    <w:rsid w:val="003D1BA0"/>
    <w:rsid w:val="003E0988"/>
    <w:rsid w:val="003E1FF7"/>
    <w:rsid w:val="003F0558"/>
    <w:rsid w:val="00435C20"/>
    <w:rsid w:val="0044551E"/>
    <w:rsid w:val="00454FDF"/>
    <w:rsid w:val="00461B12"/>
    <w:rsid w:val="00462F71"/>
    <w:rsid w:val="00472398"/>
    <w:rsid w:val="004B15F3"/>
    <w:rsid w:val="004F1DFF"/>
    <w:rsid w:val="004F49DA"/>
    <w:rsid w:val="00503902"/>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4515"/>
    <w:rsid w:val="00800CD8"/>
    <w:rsid w:val="008255D0"/>
    <w:rsid w:val="00890F08"/>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A10E23"/>
    <w:rsid w:val="00A24CE7"/>
    <w:rsid w:val="00A81EAC"/>
    <w:rsid w:val="00A87BFF"/>
    <w:rsid w:val="00A95431"/>
    <w:rsid w:val="00AA58F3"/>
    <w:rsid w:val="00AC5E84"/>
    <w:rsid w:val="00AD366F"/>
    <w:rsid w:val="00AE5897"/>
    <w:rsid w:val="00AE753A"/>
    <w:rsid w:val="00AE7BB1"/>
    <w:rsid w:val="00B11F19"/>
    <w:rsid w:val="00B22ADD"/>
    <w:rsid w:val="00B23E27"/>
    <w:rsid w:val="00B3003F"/>
    <w:rsid w:val="00BE4492"/>
    <w:rsid w:val="00C74E0E"/>
    <w:rsid w:val="00CA35D5"/>
    <w:rsid w:val="00CA5C3A"/>
    <w:rsid w:val="00CB2D39"/>
    <w:rsid w:val="00CB70B0"/>
    <w:rsid w:val="00D02681"/>
    <w:rsid w:val="00D469F9"/>
    <w:rsid w:val="00DD79C2"/>
    <w:rsid w:val="00DE4615"/>
    <w:rsid w:val="00DF4652"/>
    <w:rsid w:val="00E15357"/>
    <w:rsid w:val="00E3591F"/>
    <w:rsid w:val="00E410C4"/>
    <w:rsid w:val="00E528F0"/>
    <w:rsid w:val="00EA0280"/>
    <w:rsid w:val="00EB3332"/>
    <w:rsid w:val="00EB783F"/>
    <w:rsid w:val="00ED4686"/>
    <w:rsid w:val="00EE46E5"/>
    <w:rsid w:val="00EF490C"/>
    <w:rsid w:val="00F303CD"/>
    <w:rsid w:val="00F31855"/>
    <w:rsid w:val="00F86CFF"/>
    <w:rsid w:val="00FC2423"/>
    <w:rsid w:val="00FF66EE"/>
    <w:rsid w:val="090D1D7F"/>
    <w:rsid w:val="129F4319"/>
    <w:rsid w:val="261A49D8"/>
    <w:rsid w:val="55C87812"/>
    <w:rsid w:val="7E0F334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lang w:val="en-US" w:eastAsia="en-US" w:bidi="ar-SA"/>
    </w:rPr>
  </w:style>
  <w:style w:type="paragraph" w:styleId="2">
    <w:name w:val="heading 1"/>
    <w:basedOn w:val="1"/>
    <w:next w:val="1"/>
    <w:link w:val="14"/>
    <w:qFormat/>
    <w:uiPriority w:val="0"/>
    <w:pPr>
      <w:keepNext/>
      <w:outlineLvl w:val="0"/>
    </w:pPr>
    <w:rPr>
      <w:rFonts w:ascii=".VnTime" w:hAnsi=".VnTime"/>
      <w:sz w:val="28"/>
      <w:szCs w:val="20"/>
    </w:rPr>
  </w:style>
  <w:style w:type="paragraph" w:styleId="3">
    <w:name w:val="heading 2"/>
    <w:basedOn w:val="1"/>
    <w:next w:val="1"/>
    <w:link w:val="15"/>
    <w:qFormat/>
    <w:uiPriority w:val="0"/>
    <w:pPr>
      <w:keepNext/>
      <w:ind w:left="720"/>
      <w:jc w:val="center"/>
      <w:outlineLvl w:val="1"/>
    </w:pPr>
    <w:rPr>
      <w:rFonts w:ascii=".VnTimeH" w:hAnsi=".VnTimeH"/>
      <w:b/>
      <w:szCs w:val="20"/>
    </w:rPr>
  </w:style>
  <w:style w:type="paragraph" w:styleId="4">
    <w:name w:val="heading 3"/>
    <w:basedOn w:val="1"/>
    <w:next w:val="1"/>
    <w:link w:val="16"/>
    <w:qFormat/>
    <w:uiPriority w:val="0"/>
    <w:pPr>
      <w:keepNext/>
      <w:ind w:left="720"/>
      <w:outlineLvl w:val="2"/>
    </w:pPr>
    <w:rPr>
      <w:rFonts w:ascii=".VnTimeH" w:hAnsi=".VnTimeH"/>
      <w:b/>
      <w:szCs w:val="20"/>
    </w:rPr>
  </w:style>
  <w:style w:type="paragraph" w:styleId="5">
    <w:name w:val="heading 8"/>
    <w:basedOn w:val="1"/>
    <w:next w:val="1"/>
    <w:link w:val="20"/>
    <w:qFormat/>
    <w:uiPriority w:val="0"/>
    <w:pPr>
      <w:spacing w:before="240" w:after="60"/>
      <w:outlineLvl w:val="7"/>
    </w:pPr>
    <w:rPr>
      <w:i/>
      <w:iCs/>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link w:val="17"/>
    <w:uiPriority w:val="0"/>
    <w:rPr>
      <w:rFonts w:ascii=".VnTimeH" w:hAnsi=".VnTimeH"/>
      <w:b/>
      <w:szCs w:val="20"/>
    </w:rPr>
  </w:style>
  <w:style w:type="paragraph" w:styleId="9">
    <w:name w:val="Body Text 2"/>
    <w:basedOn w:val="1"/>
    <w:link w:val="18"/>
    <w:qFormat/>
    <w:uiPriority w:val="0"/>
    <w:pPr>
      <w:jc w:val="both"/>
    </w:pPr>
    <w:rPr>
      <w:rFonts w:ascii=".VnTime" w:hAnsi=".VnTime"/>
      <w:sz w:val="28"/>
      <w:szCs w:val="20"/>
    </w:rPr>
  </w:style>
  <w:style w:type="paragraph" w:styleId="10">
    <w:name w:val="Body Text Indent"/>
    <w:basedOn w:val="1"/>
    <w:link w:val="19"/>
    <w:uiPriority w:val="0"/>
    <w:pPr>
      <w:spacing w:after="120"/>
      <w:ind w:left="360"/>
    </w:pPr>
    <w:rPr>
      <w:rFonts w:ascii=".VnTime" w:hAnsi=".VnTime"/>
      <w:sz w:val="28"/>
      <w:szCs w:val="20"/>
    </w:rPr>
  </w:style>
  <w:style w:type="paragraph" w:styleId="11">
    <w:name w:val="footer"/>
    <w:basedOn w:val="1"/>
    <w:uiPriority w:val="0"/>
    <w:pPr>
      <w:tabs>
        <w:tab w:val="center" w:pos="4320"/>
        <w:tab w:val="right" w:pos="8640"/>
      </w:tabs>
    </w:pPr>
  </w:style>
  <w:style w:type="paragraph" w:styleId="12">
    <w:name w:val="header"/>
    <w:basedOn w:val="1"/>
    <w:uiPriority w:val="0"/>
    <w:pPr>
      <w:tabs>
        <w:tab w:val="center" w:pos="4320"/>
        <w:tab w:val="right" w:pos="8640"/>
      </w:tabs>
    </w:pPr>
  </w:style>
  <w:style w:type="paragraph" w:styleId="13">
    <w:name w:val="Normal (Web)"/>
    <w:basedOn w:val="1"/>
    <w:unhideWhenUsed/>
    <w:uiPriority w:val="99"/>
    <w:pPr>
      <w:spacing w:before="100" w:beforeAutospacing="1" w:after="100" w:afterAutospacing="1"/>
    </w:pPr>
    <w:rPr>
      <w:rFonts w:eastAsia="Times New Roman"/>
    </w:rPr>
  </w:style>
  <w:style w:type="character" w:customStyle="1" w:styleId="14">
    <w:name w:val="Heading 1 Char"/>
    <w:basedOn w:val="6"/>
    <w:link w:val="2"/>
    <w:qFormat/>
    <w:uiPriority w:val="0"/>
    <w:rPr>
      <w:rFonts w:ascii=".VnTime" w:hAnsi=".VnTime"/>
      <w:sz w:val="28"/>
    </w:rPr>
  </w:style>
  <w:style w:type="character" w:customStyle="1" w:styleId="15">
    <w:name w:val="Heading 2 Char"/>
    <w:basedOn w:val="6"/>
    <w:link w:val="3"/>
    <w:qFormat/>
    <w:uiPriority w:val="0"/>
    <w:rPr>
      <w:rFonts w:ascii=".VnTimeH" w:hAnsi=".VnTimeH"/>
      <w:b/>
      <w:sz w:val="24"/>
    </w:rPr>
  </w:style>
  <w:style w:type="character" w:customStyle="1" w:styleId="16">
    <w:name w:val="Heading 3 Char"/>
    <w:basedOn w:val="6"/>
    <w:link w:val="4"/>
    <w:uiPriority w:val="0"/>
    <w:rPr>
      <w:rFonts w:ascii=".VnTimeH" w:hAnsi=".VnTimeH"/>
      <w:b/>
      <w:sz w:val="24"/>
    </w:rPr>
  </w:style>
  <w:style w:type="character" w:customStyle="1" w:styleId="17">
    <w:name w:val="Body Text Char"/>
    <w:basedOn w:val="6"/>
    <w:link w:val="8"/>
    <w:uiPriority w:val="0"/>
    <w:rPr>
      <w:rFonts w:ascii=".VnTimeH" w:hAnsi=".VnTimeH"/>
      <w:b/>
      <w:sz w:val="24"/>
    </w:rPr>
  </w:style>
  <w:style w:type="character" w:customStyle="1" w:styleId="18">
    <w:name w:val="Body Text 2 Char"/>
    <w:basedOn w:val="6"/>
    <w:link w:val="9"/>
    <w:qFormat/>
    <w:uiPriority w:val="0"/>
    <w:rPr>
      <w:rFonts w:ascii=".VnTime" w:hAnsi=".VnTime"/>
      <w:sz w:val="28"/>
    </w:rPr>
  </w:style>
  <w:style w:type="character" w:customStyle="1" w:styleId="19">
    <w:name w:val="Body Text Indent Char"/>
    <w:basedOn w:val="6"/>
    <w:link w:val="10"/>
    <w:uiPriority w:val="0"/>
    <w:rPr>
      <w:rFonts w:ascii=".VnTime" w:hAnsi=".VnTime"/>
      <w:sz w:val="28"/>
    </w:rPr>
  </w:style>
  <w:style w:type="character" w:customStyle="1" w:styleId="20">
    <w:name w:val="Heading 8 Char"/>
    <w:basedOn w:val="6"/>
    <w:link w:val="5"/>
    <w:qFormat/>
    <w:uiPriority w:val="0"/>
    <w:rPr>
      <w:i/>
      <w:iCs/>
      <w:sz w:val="24"/>
      <w:szCs w:val="24"/>
    </w:rPr>
  </w:style>
  <w:style w:type="paragraph" w:customStyle="1" w:styleId="21">
    <w:name w:val=" Char"/>
    <w:basedOn w:val="1"/>
    <w:uiPriority w:val="0"/>
    <w:pPr>
      <w:pageBreakBefore/>
      <w:tabs>
        <w:tab w:val="left" w:pos="850"/>
        <w:tab w:val="left" w:pos="1191"/>
        <w:tab w:val="left" w:pos="1531"/>
      </w:tabs>
      <w:spacing w:after="120"/>
      <w:jc w:val="center"/>
    </w:pPr>
    <w:rPr>
      <w:rFonts w:ascii="Tahoma" w:hAnsi="Tahoma" w:eastAsia="MS Mincho" w:cs="Tahoma"/>
      <w:b/>
      <w:bCs/>
      <w:color w:val="FFFFFF"/>
      <w:spacing w:val="20"/>
      <w:sz w:val="22"/>
      <w:szCs w:val="22"/>
      <w:lang w:val="en-GB"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798</Words>
  <Characters>4553</Characters>
  <Lines>37</Lines>
  <Paragraphs>10</Paragraphs>
  <TotalTime>126</TotalTime>
  <ScaleCrop>false</ScaleCrop>
  <LinksUpToDate>false</LinksUpToDate>
  <CharactersWithSpaces>5341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2019-04-08T03:09:00Z</dcterms:created>
  <dc:creator>Quyền Lương Thế</dc:creator>
  <cp:lastModifiedBy>Quyền Lương Thế</cp:lastModifiedBy>
  <dcterms:modified xsi:type="dcterms:W3CDTF">2025-07-23T07:22:39Z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B85DAABAB08148A9B9787A7790521508_13</vt:lpwstr>
  </property>
</Properties>
</file>