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Layout w:type="autofit"/>
        <w:tblCellMar>
          <w:top w:w="0" w:type="dxa"/>
          <w:left w:w="108" w:type="dxa"/>
          <w:bottom w:w="0" w:type="dxa"/>
          <w:right w:w="108" w:type="dxa"/>
        </w:tblCellMar>
      </w:tblPr>
      <w:tblGrid>
        <w:gridCol w:w="3414"/>
        <w:gridCol w:w="5822"/>
      </w:tblGrid>
      <w:tr w14:paraId="747069A0">
        <w:tblPrEx>
          <w:tblCellMar>
            <w:top w:w="0" w:type="dxa"/>
            <w:left w:w="108" w:type="dxa"/>
            <w:bottom w:w="0" w:type="dxa"/>
            <w:right w:w="108" w:type="dxa"/>
          </w:tblCellMar>
        </w:tblPrEx>
        <w:tc>
          <w:tcPr>
            <w:tcW w:w="1848" w:type="pct"/>
            <w:shd w:val="clear" w:color="auto" w:fill="auto"/>
          </w:tcPr>
          <w:p w14:paraId="56391128">
            <w:pPr>
              <w:pStyle w:val="4"/>
              <w:shd w:val="clear" w:color="auto" w:fill="auto"/>
              <w:spacing w:after="0" w:line="240" w:lineRule="auto"/>
              <w:ind w:firstLine="0"/>
              <w:jc w:val="center"/>
              <w:rPr>
                <w:rStyle w:val="11"/>
                <w:rFonts w:ascii="Arial" w:hAnsi="Arial" w:cs="Arial"/>
                <w:b/>
                <w:bCs/>
                <w:color w:val="000000"/>
                <w:sz w:val="20"/>
                <w:szCs w:val="20"/>
                <w:lang w:eastAsia="vi-VN"/>
              </w:rPr>
            </w:pPr>
            <w:r>
              <w:rPr>
                <w:rStyle w:val="11"/>
                <w:rFonts w:ascii="Arial" w:hAnsi="Arial" w:cs="Arial"/>
                <w:b/>
                <w:bCs/>
                <w:color w:val="000000"/>
                <w:sz w:val="20"/>
                <w:szCs w:val="20"/>
                <w:lang w:eastAsia="vi-VN"/>
              </w:rPr>
              <w:t>CHÍNH PHỦ</w:t>
            </w:r>
          </w:p>
          <w:p w14:paraId="127C8CBE">
            <w:pPr>
              <w:pStyle w:val="4"/>
              <w:shd w:val="clear" w:color="auto" w:fill="auto"/>
              <w:spacing w:after="0" w:line="240" w:lineRule="auto"/>
              <w:ind w:firstLine="0"/>
              <w:jc w:val="center"/>
              <w:rPr>
                <w:rStyle w:val="11"/>
                <w:rFonts w:ascii="Arial" w:hAnsi="Arial" w:cs="Arial"/>
                <w:sz w:val="20"/>
                <w:szCs w:val="20"/>
                <w:lang w:val="en-US"/>
              </w:rPr>
            </w:pPr>
            <w:r>
              <w:rPr>
                <w:rStyle w:val="11"/>
                <w:rFonts w:ascii="Arial" w:hAnsi="Arial" w:cs="Arial"/>
                <w:bCs/>
                <w:color w:val="000000"/>
                <w:sz w:val="20"/>
                <w:szCs w:val="20"/>
                <w:lang w:val="en-US" w:eastAsia="vi-VN"/>
              </w:rPr>
              <w:t>______</w:t>
            </w:r>
          </w:p>
          <w:p w14:paraId="2086B5E7">
            <w:pPr>
              <w:pStyle w:val="4"/>
              <w:shd w:val="clear" w:color="auto" w:fill="auto"/>
              <w:spacing w:after="0" w:line="240" w:lineRule="auto"/>
              <w:ind w:firstLine="0"/>
              <w:jc w:val="center"/>
              <w:rPr>
                <w:rFonts w:ascii="Arial" w:hAnsi="Arial" w:cs="Arial"/>
                <w:sz w:val="20"/>
                <w:szCs w:val="20"/>
              </w:rPr>
            </w:pPr>
            <w:r>
              <w:rPr>
                <w:rStyle w:val="11"/>
                <w:rFonts w:ascii="Arial" w:hAnsi="Arial" w:cs="Arial"/>
                <w:color w:val="000000"/>
                <w:sz w:val="20"/>
                <w:szCs w:val="20"/>
                <w:lang w:eastAsia="vi-VN"/>
              </w:rPr>
              <w:t>Số: 62/2021/NĐ-CP</w:t>
            </w:r>
          </w:p>
          <w:p w14:paraId="740EAFDD">
            <w:pPr>
              <w:pStyle w:val="4"/>
              <w:shd w:val="clear" w:color="auto" w:fill="auto"/>
              <w:spacing w:after="0" w:line="240" w:lineRule="auto"/>
              <w:ind w:firstLine="0"/>
              <w:jc w:val="center"/>
              <w:rPr>
                <w:rStyle w:val="11"/>
                <w:rFonts w:ascii="Arial" w:hAnsi="Arial" w:cs="Arial"/>
                <w:b/>
                <w:bCs/>
                <w:color w:val="000000"/>
                <w:sz w:val="20"/>
                <w:szCs w:val="20"/>
                <w:lang w:eastAsia="vi-VN"/>
              </w:rPr>
            </w:pPr>
          </w:p>
        </w:tc>
        <w:tc>
          <w:tcPr>
            <w:tcW w:w="3152" w:type="pct"/>
            <w:shd w:val="clear" w:color="auto" w:fill="auto"/>
          </w:tcPr>
          <w:p w14:paraId="2BBF75EF">
            <w:pPr>
              <w:pStyle w:val="4"/>
              <w:shd w:val="clear" w:color="auto" w:fill="auto"/>
              <w:spacing w:after="0" w:line="240" w:lineRule="auto"/>
              <w:ind w:firstLine="0"/>
              <w:jc w:val="center"/>
              <w:rPr>
                <w:rFonts w:ascii="Arial" w:hAnsi="Arial" w:cs="Arial"/>
                <w:sz w:val="20"/>
                <w:szCs w:val="20"/>
              </w:rPr>
            </w:pPr>
            <w:r>
              <w:rPr>
                <w:rStyle w:val="11"/>
                <w:rFonts w:ascii="Arial" w:hAnsi="Arial" w:cs="Arial"/>
                <w:b/>
                <w:bCs/>
                <w:color w:val="000000"/>
                <w:sz w:val="20"/>
                <w:szCs w:val="20"/>
                <w:lang w:eastAsia="vi-VN"/>
              </w:rPr>
              <w:t>CỘNG HÒA X</w:t>
            </w:r>
            <w:r>
              <w:rPr>
                <w:rStyle w:val="11"/>
                <w:rFonts w:ascii="Arial" w:hAnsi="Arial" w:cs="Arial"/>
                <w:b/>
                <w:bCs/>
                <w:color w:val="000000"/>
                <w:sz w:val="20"/>
                <w:szCs w:val="20"/>
                <w:lang w:val="en-US" w:eastAsia="vi-VN"/>
              </w:rPr>
              <w:t>Ã</w:t>
            </w:r>
            <w:r>
              <w:rPr>
                <w:rStyle w:val="11"/>
                <w:rFonts w:ascii="Arial" w:hAnsi="Arial" w:cs="Arial"/>
                <w:b/>
                <w:bCs/>
                <w:color w:val="000000"/>
                <w:sz w:val="20"/>
                <w:szCs w:val="20"/>
                <w:lang w:eastAsia="vi-VN"/>
              </w:rPr>
              <w:t xml:space="preserve"> HỘI CHỦ NGHĨA VIỆT NAM</w:t>
            </w:r>
          </w:p>
          <w:p w14:paraId="2BBB29FF">
            <w:pPr>
              <w:pStyle w:val="17"/>
              <w:keepNext/>
              <w:keepLines/>
              <w:shd w:val="clear" w:color="auto" w:fill="auto"/>
              <w:spacing w:after="0"/>
              <w:jc w:val="center"/>
              <w:rPr>
                <w:rStyle w:val="16"/>
                <w:rFonts w:ascii="Arial" w:hAnsi="Arial" w:cs="Arial"/>
                <w:b/>
                <w:bCs/>
                <w:color w:val="000000"/>
                <w:sz w:val="20"/>
                <w:szCs w:val="20"/>
                <w:lang w:eastAsia="vi-VN"/>
              </w:rPr>
            </w:pPr>
            <w:bookmarkStart w:id="0" w:name="bookmark0"/>
            <w:bookmarkStart w:id="1" w:name="bookmark1"/>
            <w:r>
              <w:rPr>
                <w:rStyle w:val="16"/>
                <w:rFonts w:ascii="Arial" w:hAnsi="Arial" w:cs="Arial"/>
                <w:b/>
                <w:bCs/>
                <w:color w:val="000000"/>
                <w:sz w:val="20"/>
                <w:szCs w:val="20"/>
                <w:lang w:eastAsia="vi-VN"/>
              </w:rPr>
              <w:t>Độc lập - Tự do - Hạnh phúc</w:t>
            </w:r>
            <w:bookmarkEnd w:id="0"/>
            <w:bookmarkEnd w:id="1"/>
          </w:p>
          <w:p w14:paraId="4B56CCD3">
            <w:pPr>
              <w:pStyle w:val="17"/>
              <w:keepNext/>
              <w:keepLines/>
              <w:shd w:val="clear" w:color="auto" w:fill="auto"/>
              <w:spacing w:after="0"/>
              <w:jc w:val="center"/>
              <w:rPr>
                <w:rFonts w:ascii="Arial" w:hAnsi="Arial" w:cs="Arial"/>
                <w:sz w:val="20"/>
                <w:szCs w:val="20"/>
                <w:lang w:val="en-US"/>
              </w:rPr>
            </w:pPr>
            <w:r>
              <w:rPr>
                <w:rStyle w:val="16"/>
                <w:rFonts w:ascii="Arial" w:hAnsi="Arial" w:cs="Arial"/>
                <w:b w:val="0"/>
                <w:bCs w:val="0"/>
                <w:color w:val="000000"/>
                <w:sz w:val="20"/>
                <w:szCs w:val="20"/>
                <w:lang w:eastAsia="vi-VN"/>
              </w:rPr>
              <w:t>____________________</w:t>
            </w:r>
            <w:r>
              <w:rPr>
                <w:rStyle w:val="16"/>
                <w:rFonts w:ascii="Arial" w:hAnsi="Arial" w:cs="Arial"/>
                <w:b w:val="0"/>
                <w:bCs w:val="0"/>
                <w:color w:val="000000"/>
                <w:sz w:val="20"/>
                <w:szCs w:val="20"/>
                <w:lang w:val="en-US" w:eastAsia="vi-VN"/>
              </w:rPr>
              <w:t>____</w:t>
            </w:r>
          </w:p>
          <w:p w14:paraId="1AACF15F">
            <w:pPr>
              <w:pStyle w:val="4"/>
              <w:shd w:val="clear" w:color="auto" w:fill="auto"/>
              <w:spacing w:after="0" w:line="240" w:lineRule="auto"/>
              <w:ind w:firstLine="0"/>
              <w:jc w:val="right"/>
              <w:rPr>
                <w:rStyle w:val="11"/>
                <w:rFonts w:ascii="Arial" w:hAnsi="Arial" w:cs="Arial"/>
                <w:sz w:val="20"/>
                <w:szCs w:val="20"/>
              </w:rPr>
            </w:pPr>
            <w:r>
              <w:rPr>
                <w:rStyle w:val="11"/>
                <w:rFonts w:ascii="Arial" w:hAnsi="Arial" w:cs="Arial"/>
                <w:i/>
                <w:iCs/>
                <w:color w:val="000000"/>
                <w:sz w:val="20"/>
                <w:szCs w:val="20"/>
                <w:lang w:eastAsia="vi-VN"/>
              </w:rPr>
              <w:t>Hà Nội, ngày 29 tháng 6 năm 2021</w:t>
            </w:r>
          </w:p>
        </w:tc>
      </w:tr>
    </w:tbl>
    <w:p w14:paraId="041F640D">
      <w:pPr>
        <w:pStyle w:val="4"/>
        <w:shd w:val="clear" w:color="auto" w:fill="auto"/>
        <w:spacing w:after="0" w:line="240" w:lineRule="auto"/>
        <w:ind w:firstLine="0"/>
        <w:jc w:val="center"/>
        <w:rPr>
          <w:rStyle w:val="11"/>
          <w:rFonts w:ascii="Arial" w:hAnsi="Arial" w:cs="Arial"/>
          <w:b/>
          <w:bCs/>
          <w:color w:val="000000"/>
          <w:sz w:val="20"/>
          <w:szCs w:val="20"/>
          <w:lang w:eastAsia="vi-VN"/>
        </w:rPr>
      </w:pPr>
    </w:p>
    <w:p w14:paraId="5DB6DFFE">
      <w:pPr>
        <w:pStyle w:val="4"/>
        <w:shd w:val="clear" w:color="auto" w:fill="auto"/>
        <w:spacing w:after="0" w:line="240" w:lineRule="auto"/>
        <w:ind w:firstLine="0"/>
        <w:jc w:val="center"/>
        <w:rPr>
          <w:rStyle w:val="11"/>
          <w:rFonts w:ascii="Arial" w:hAnsi="Arial" w:cs="Arial"/>
          <w:b/>
          <w:bCs/>
          <w:color w:val="000000"/>
          <w:sz w:val="20"/>
          <w:szCs w:val="20"/>
          <w:lang w:eastAsia="vi-VN"/>
        </w:rPr>
      </w:pPr>
    </w:p>
    <w:p w14:paraId="1991A891">
      <w:pPr>
        <w:pStyle w:val="17"/>
        <w:keepNext/>
        <w:keepLines/>
        <w:shd w:val="clear" w:color="auto" w:fill="auto"/>
        <w:spacing w:after="0"/>
        <w:jc w:val="center"/>
        <w:rPr>
          <w:rFonts w:ascii="Arial" w:hAnsi="Arial" w:cs="Arial"/>
          <w:sz w:val="20"/>
          <w:szCs w:val="20"/>
        </w:rPr>
      </w:pPr>
      <w:bookmarkStart w:id="2" w:name="bookmark3"/>
      <w:bookmarkStart w:id="3" w:name="bookmark2"/>
      <w:r>
        <w:rPr>
          <w:rStyle w:val="16"/>
          <w:rFonts w:ascii="Arial" w:hAnsi="Arial" w:cs="Arial"/>
          <w:b/>
          <w:bCs/>
          <w:color w:val="000000"/>
          <w:sz w:val="20"/>
          <w:szCs w:val="20"/>
          <w:lang w:eastAsia="vi-VN"/>
        </w:rPr>
        <w:t>NGHỊ ĐỊNH</w:t>
      </w:r>
      <w:bookmarkEnd w:id="2"/>
      <w:bookmarkEnd w:id="3"/>
    </w:p>
    <w:p w14:paraId="6C1001CE">
      <w:pPr>
        <w:pStyle w:val="17"/>
        <w:keepNext/>
        <w:keepLines/>
        <w:shd w:val="clear" w:color="auto" w:fill="auto"/>
        <w:spacing w:after="0"/>
        <w:jc w:val="center"/>
        <w:rPr>
          <w:rStyle w:val="16"/>
          <w:rFonts w:ascii="Arial" w:hAnsi="Arial" w:cs="Arial"/>
          <w:b/>
          <w:bCs/>
          <w:color w:val="000000"/>
          <w:sz w:val="20"/>
          <w:szCs w:val="20"/>
          <w:lang w:eastAsia="vi-VN"/>
        </w:rPr>
      </w:pPr>
      <w:bookmarkStart w:id="4" w:name="bookmark5"/>
      <w:bookmarkStart w:id="5" w:name="bookmark4"/>
      <w:r>
        <w:rPr>
          <w:rStyle w:val="16"/>
          <w:rFonts w:ascii="Arial" w:hAnsi="Arial" w:cs="Arial"/>
          <w:b/>
          <w:bCs/>
          <w:color w:val="000000"/>
          <w:sz w:val="20"/>
          <w:szCs w:val="20"/>
          <w:lang w:eastAsia="vi-VN"/>
        </w:rPr>
        <w:t>Quy định chi tiết một số điều Luật Cư trú</w:t>
      </w:r>
      <w:bookmarkEnd w:id="4"/>
      <w:bookmarkEnd w:id="5"/>
    </w:p>
    <w:p w14:paraId="1D5D2C80">
      <w:pPr>
        <w:pStyle w:val="17"/>
        <w:keepNext/>
        <w:keepLines/>
        <w:shd w:val="clear" w:color="auto" w:fill="auto"/>
        <w:spacing w:after="0"/>
        <w:jc w:val="center"/>
        <w:rPr>
          <w:rFonts w:ascii="Arial" w:hAnsi="Arial" w:cs="Arial"/>
          <w:sz w:val="20"/>
          <w:szCs w:val="20"/>
          <w:lang w:val="en-US"/>
        </w:rPr>
      </w:pPr>
      <w:r>
        <w:rPr>
          <w:rStyle w:val="16"/>
          <w:rFonts w:ascii="Arial" w:hAnsi="Arial" w:cs="Arial"/>
          <w:b w:val="0"/>
          <w:bCs/>
          <w:color w:val="000000"/>
          <w:sz w:val="20"/>
          <w:szCs w:val="20"/>
          <w:lang w:val="en-US" w:eastAsia="vi-VN"/>
        </w:rPr>
        <w:t>____________</w:t>
      </w:r>
    </w:p>
    <w:p w14:paraId="044A6DC7">
      <w:pPr>
        <w:pStyle w:val="4"/>
        <w:shd w:val="clear" w:color="auto" w:fill="auto"/>
        <w:spacing w:after="0" w:line="240" w:lineRule="auto"/>
        <w:ind w:firstLine="0"/>
        <w:jc w:val="center"/>
        <w:rPr>
          <w:rStyle w:val="11"/>
          <w:rFonts w:ascii="Arial" w:hAnsi="Arial" w:cs="Arial"/>
          <w:i/>
          <w:iCs/>
          <w:color w:val="000000"/>
          <w:sz w:val="20"/>
          <w:szCs w:val="20"/>
          <w:lang w:eastAsia="vi-VN"/>
        </w:rPr>
      </w:pPr>
    </w:p>
    <w:p w14:paraId="7EFE8DC5">
      <w:pPr>
        <w:pStyle w:val="4"/>
        <w:shd w:val="clear" w:color="auto" w:fill="auto"/>
        <w:spacing w:after="120" w:line="240" w:lineRule="auto"/>
        <w:ind w:firstLine="720"/>
        <w:jc w:val="both"/>
        <w:rPr>
          <w:rFonts w:ascii="Arial" w:hAnsi="Arial" w:cs="Arial"/>
          <w:sz w:val="20"/>
          <w:szCs w:val="20"/>
        </w:rPr>
      </w:pPr>
      <w:r>
        <w:rPr>
          <w:rStyle w:val="11"/>
          <w:rFonts w:ascii="Arial" w:hAnsi="Arial" w:cs="Arial"/>
          <w:i/>
          <w:iCs/>
          <w:color w:val="000000"/>
          <w:sz w:val="20"/>
          <w:szCs w:val="20"/>
          <w:lang w:eastAsia="vi-VN"/>
        </w:rPr>
        <w:t>Căn cứ Luật Tổ chức Chính phủ ngày 19 tháng 6 năm 2015;</w:t>
      </w:r>
    </w:p>
    <w:p w14:paraId="5D0EC660">
      <w:pPr>
        <w:pStyle w:val="4"/>
        <w:shd w:val="clear" w:color="auto" w:fill="auto"/>
        <w:spacing w:after="120" w:line="240" w:lineRule="auto"/>
        <w:ind w:firstLine="720"/>
        <w:jc w:val="both"/>
        <w:rPr>
          <w:rFonts w:ascii="Arial" w:hAnsi="Arial" w:cs="Arial"/>
          <w:sz w:val="20"/>
          <w:szCs w:val="20"/>
        </w:rPr>
      </w:pPr>
      <w:r>
        <w:rPr>
          <w:rStyle w:val="11"/>
          <w:rFonts w:ascii="Arial" w:hAnsi="Arial" w:cs="Arial"/>
          <w:i/>
          <w:iCs/>
          <w:color w:val="000000"/>
          <w:sz w:val="20"/>
          <w:szCs w:val="20"/>
          <w:lang w:eastAsia="vi-VN"/>
        </w:rPr>
        <w:t>Căn cứ Luật sửa đổi, bổ sung một số điều của Luật Tổ chức Chính phủ và Luật Tổ chức chính quyền địa phương ngày 22 tháng 11 năm 2019;</w:t>
      </w:r>
    </w:p>
    <w:p w14:paraId="26B68E5D">
      <w:pPr>
        <w:pStyle w:val="4"/>
        <w:shd w:val="clear" w:color="auto" w:fill="auto"/>
        <w:spacing w:after="120" w:line="240" w:lineRule="auto"/>
        <w:ind w:firstLine="720"/>
        <w:jc w:val="both"/>
        <w:rPr>
          <w:rFonts w:ascii="Arial" w:hAnsi="Arial" w:cs="Arial"/>
          <w:sz w:val="20"/>
          <w:szCs w:val="20"/>
        </w:rPr>
      </w:pPr>
      <w:r>
        <w:rPr>
          <w:rStyle w:val="11"/>
          <w:rFonts w:ascii="Arial" w:hAnsi="Arial" w:cs="Arial"/>
          <w:i/>
          <w:iCs/>
          <w:color w:val="000000"/>
          <w:sz w:val="20"/>
          <w:szCs w:val="20"/>
          <w:lang w:eastAsia="vi-VN"/>
        </w:rPr>
        <w:t>Căn cứ Luật Cư trú ngày 13 tháng 11 năm 2020;</w:t>
      </w:r>
    </w:p>
    <w:p w14:paraId="1032FBFF">
      <w:pPr>
        <w:pStyle w:val="4"/>
        <w:shd w:val="clear" w:color="auto" w:fill="auto"/>
        <w:spacing w:after="120" w:line="240" w:lineRule="auto"/>
        <w:ind w:firstLine="720"/>
        <w:jc w:val="both"/>
        <w:rPr>
          <w:rFonts w:ascii="Arial" w:hAnsi="Arial" w:cs="Arial"/>
          <w:sz w:val="20"/>
          <w:szCs w:val="20"/>
        </w:rPr>
      </w:pPr>
      <w:r>
        <w:rPr>
          <w:rStyle w:val="11"/>
          <w:rFonts w:ascii="Arial" w:hAnsi="Arial" w:cs="Arial"/>
          <w:i/>
          <w:iCs/>
          <w:color w:val="000000"/>
          <w:sz w:val="20"/>
          <w:szCs w:val="20"/>
          <w:lang w:eastAsia="vi-VN"/>
        </w:rPr>
        <w:t>Theo đề nghị của Bộ trưởng Bộ Công an;</w:t>
      </w:r>
    </w:p>
    <w:p w14:paraId="6682EF23">
      <w:pPr>
        <w:pStyle w:val="4"/>
        <w:shd w:val="clear" w:color="auto" w:fill="auto"/>
        <w:spacing w:after="0" w:line="240" w:lineRule="auto"/>
        <w:ind w:firstLine="720"/>
        <w:jc w:val="both"/>
        <w:rPr>
          <w:rStyle w:val="11"/>
          <w:rFonts w:ascii="Arial" w:hAnsi="Arial" w:cs="Arial"/>
          <w:i/>
          <w:iCs/>
          <w:color w:val="000000"/>
          <w:sz w:val="20"/>
          <w:szCs w:val="20"/>
          <w:lang w:eastAsia="vi-VN"/>
        </w:rPr>
      </w:pPr>
      <w:r>
        <w:rPr>
          <w:rStyle w:val="11"/>
          <w:rFonts w:ascii="Arial" w:hAnsi="Arial" w:cs="Arial"/>
          <w:i/>
          <w:iCs/>
          <w:color w:val="000000"/>
          <w:sz w:val="20"/>
          <w:szCs w:val="20"/>
          <w:lang w:eastAsia="vi-VN"/>
        </w:rPr>
        <w:t>Chính phủ ban hành Nghị định quy định chi tiết một số điều Luật Cư trú.</w:t>
      </w:r>
    </w:p>
    <w:p w14:paraId="05952377">
      <w:pPr>
        <w:pStyle w:val="17"/>
        <w:keepNext/>
        <w:keepLines/>
        <w:shd w:val="clear" w:color="auto" w:fill="auto"/>
        <w:spacing w:after="0"/>
        <w:jc w:val="center"/>
        <w:rPr>
          <w:rFonts w:ascii="Arial" w:hAnsi="Arial" w:cs="Arial"/>
          <w:sz w:val="20"/>
          <w:szCs w:val="20"/>
        </w:rPr>
      </w:pPr>
    </w:p>
    <w:p w14:paraId="7230A812">
      <w:pPr>
        <w:pStyle w:val="17"/>
        <w:keepNext/>
        <w:keepLines/>
        <w:shd w:val="clear" w:color="auto" w:fill="auto"/>
        <w:spacing w:after="120"/>
        <w:ind w:firstLine="720"/>
        <w:jc w:val="both"/>
        <w:rPr>
          <w:rFonts w:ascii="Arial" w:hAnsi="Arial" w:cs="Arial"/>
          <w:sz w:val="20"/>
          <w:szCs w:val="20"/>
        </w:rPr>
      </w:pPr>
      <w:bookmarkStart w:id="6" w:name="bookmark8"/>
      <w:bookmarkStart w:id="7" w:name="bookmark9"/>
      <w:r>
        <w:rPr>
          <w:rStyle w:val="16"/>
          <w:rFonts w:ascii="Arial" w:hAnsi="Arial" w:cs="Arial"/>
          <w:b/>
          <w:bCs/>
          <w:color w:val="000000"/>
          <w:sz w:val="20"/>
          <w:szCs w:val="20"/>
          <w:lang w:eastAsia="vi-VN"/>
        </w:rPr>
        <w:t>Điều 1. Phạm vi điều chỉnh</w:t>
      </w:r>
      <w:bookmarkEnd w:id="6"/>
      <w:bookmarkEnd w:id="7"/>
    </w:p>
    <w:p w14:paraId="4C976AA6">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Nghị định này quy định chi tiết một số điều Luật Cư trú về:</w:t>
      </w:r>
    </w:p>
    <w:p w14:paraId="06882DAF">
      <w:pPr>
        <w:pStyle w:val="4"/>
        <w:shd w:val="clear" w:color="auto" w:fill="auto"/>
        <w:tabs>
          <w:tab w:val="left" w:pos="95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Nơi cư trú của người sinh sống, người làm nghề lưu động trên tàu, thuyền hoặc phương tiện khác có khả năng di chuyển.</w:t>
      </w:r>
    </w:p>
    <w:p w14:paraId="0B8D9EBF">
      <w:pPr>
        <w:pStyle w:val="4"/>
        <w:shd w:val="clear" w:color="auto" w:fill="auto"/>
        <w:tabs>
          <w:tab w:val="left" w:pos="99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Nơi cư trú của người không có nơi thường trú, nơi tạm trú.</w:t>
      </w:r>
    </w:p>
    <w:p w14:paraId="4F2F0046">
      <w:pPr>
        <w:pStyle w:val="4"/>
        <w:shd w:val="clear" w:color="auto" w:fill="auto"/>
        <w:tabs>
          <w:tab w:val="left" w:pos="96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Các loại giấy tờ, tài liệu chứng minh chỗ ở hợp pháp, giấy tờ, tài liệu chứng minh quan hệ nhân thân.</w:t>
      </w:r>
    </w:p>
    <w:p w14:paraId="4F7A275B">
      <w:pPr>
        <w:pStyle w:val="4"/>
        <w:shd w:val="clear" w:color="auto" w:fill="auto"/>
        <w:tabs>
          <w:tab w:val="left" w:pos="97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Hồ sơ, thủ tục xóa đăng ký thường trú.</w:t>
      </w:r>
    </w:p>
    <w:p w14:paraId="0C3F06B7">
      <w:pPr>
        <w:pStyle w:val="4"/>
        <w:shd w:val="clear" w:color="auto" w:fill="auto"/>
        <w:tabs>
          <w:tab w:val="left" w:pos="97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Hồ sơ, thủ tục xóa đăng ký tạm trú.</w:t>
      </w:r>
    </w:p>
    <w:p w14:paraId="3EE40922">
      <w:pPr>
        <w:pStyle w:val="4"/>
        <w:shd w:val="clear" w:color="auto" w:fill="auto"/>
        <w:tabs>
          <w:tab w:val="left" w:pos="96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6. </w:t>
      </w:r>
      <w:r>
        <w:rPr>
          <w:rStyle w:val="11"/>
          <w:rFonts w:ascii="Arial" w:hAnsi="Arial" w:cs="Arial"/>
          <w:color w:val="000000"/>
          <w:sz w:val="20"/>
          <w:szCs w:val="20"/>
          <w:lang w:eastAsia="vi-VN"/>
        </w:rPr>
        <w:t>Xây dựng, quản lý, sử dụng Cơ sở dữ liệu về cư trú, thông tin trong Cơ sở dữ liệu về cư trú và việc cung cấp, trao đổi thông tin, tài liệu từ Cơ sở dữ liệu về cư trú cho các cơ quan, tổ chức, cá nhân.</w:t>
      </w:r>
    </w:p>
    <w:p w14:paraId="1535C515">
      <w:pPr>
        <w:pStyle w:val="17"/>
        <w:keepNext/>
        <w:keepLines/>
        <w:shd w:val="clear" w:color="auto" w:fill="auto"/>
        <w:spacing w:after="120"/>
        <w:ind w:firstLine="720"/>
        <w:jc w:val="both"/>
        <w:rPr>
          <w:rFonts w:ascii="Arial" w:hAnsi="Arial" w:cs="Arial"/>
          <w:sz w:val="20"/>
          <w:szCs w:val="20"/>
        </w:rPr>
      </w:pPr>
      <w:bookmarkStart w:id="8" w:name="bookmark10"/>
      <w:bookmarkStart w:id="9" w:name="bookmark11"/>
      <w:r>
        <w:rPr>
          <w:rStyle w:val="16"/>
          <w:rFonts w:ascii="Arial" w:hAnsi="Arial" w:cs="Arial"/>
          <w:b/>
          <w:bCs/>
          <w:color w:val="000000"/>
          <w:sz w:val="20"/>
          <w:szCs w:val="20"/>
          <w:lang w:eastAsia="vi-VN"/>
        </w:rPr>
        <w:t>Điều 2. Đối tượng áp dụng</w:t>
      </w:r>
      <w:bookmarkEnd w:id="8"/>
      <w:bookmarkEnd w:id="9"/>
    </w:p>
    <w:p w14:paraId="67FA9DBB">
      <w:pPr>
        <w:pStyle w:val="4"/>
        <w:shd w:val="clear" w:color="auto" w:fill="auto"/>
        <w:spacing w:after="0" w:line="240" w:lineRule="auto"/>
        <w:ind w:firstLine="720"/>
        <w:jc w:val="both"/>
        <w:rPr>
          <w:rStyle w:val="11"/>
          <w:rFonts w:ascii="Arial" w:hAnsi="Arial" w:cs="Arial"/>
          <w:color w:val="000000"/>
          <w:sz w:val="20"/>
          <w:szCs w:val="20"/>
          <w:lang w:eastAsia="vi-VN"/>
        </w:rPr>
      </w:pPr>
      <w:r>
        <w:rPr>
          <w:rStyle w:val="11"/>
          <w:rFonts w:ascii="Arial" w:hAnsi="Arial" w:cs="Arial"/>
          <w:color w:val="000000"/>
          <w:sz w:val="20"/>
          <w:szCs w:val="20"/>
          <w:lang w:eastAsia="vi-VN"/>
        </w:rPr>
        <w:t>Nghị định này áp dụng đối với cơ quan, tổ chức và công dân Việt Nam trên lãnh thổ nước Cộng hòa xã hội chủ nghĩa Việt Nam.</w:t>
      </w:r>
    </w:p>
    <w:p w14:paraId="5E583157">
      <w:pPr>
        <w:pStyle w:val="4"/>
        <w:shd w:val="clear" w:color="auto" w:fill="auto"/>
        <w:spacing w:after="0" w:line="240" w:lineRule="auto"/>
        <w:ind w:firstLine="0"/>
        <w:jc w:val="center"/>
        <w:rPr>
          <w:rFonts w:ascii="Arial" w:hAnsi="Arial" w:cs="Arial"/>
          <w:sz w:val="20"/>
          <w:szCs w:val="20"/>
        </w:rPr>
      </w:pPr>
    </w:p>
    <w:p w14:paraId="18E9A231">
      <w:pPr>
        <w:pStyle w:val="4"/>
        <w:shd w:val="clear" w:color="auto" w:fill="auto"/>
        <w:spacing w:after="0" w:line="240" w:lineRule="auto"/>
        <w:ind w:firstLine="0"/>
        <w:jc w:val="center"/>
        <w:rPr>
          <w:rFonts w:ascii="Arial" w:hAnsi="Arial" w:cs="Arial"/>
          <w:sz w:val="20"/>
          <w:szCs w:val="20"/>
        </w:rPr>
      </w:pPr>
    </w:p>
    <w:p w14:paraId="18D099E7">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3. Nơi cư trú của người sinh sống, người làm nghề lưu động trên tàu, thuyền hoặc phương tiện khác có khả năng di chuyển</w:t>
      </w:r>
    </w:p>
    <w:p w14:paraId="763ABAE0">
      <w:pPr>
        <w:pStyle w:val="4"/>
        <w:shd w:val="clear" w:color="auto" w:fill="auto"/>
        <w:tabs>
          <w:tab w:val="left" w:pos="92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Nơi cư trú của người sinh sống, người làm nghề lưu động trên tàu, thuyền hoặc phương tiện khác có khả năng di chuyển (sau đây gọi chung là phương tiện) là nơi đăng ký phương tiện hoặc nơi phương tiện thường xuyên đậu, đỗ (nếu phương tiện đó không phải đăng ký hoặc có nơi đăng ký phương tiện không trùng với nơi thường xuyên đậu, đỗ); trừ trường hợp đã đăng ký nơi cư trú khác theo quy định của Luật Cư trú.</w:t>
      </w:r>
    </w:p>
    <w:p w14:paraId="454A062C">
      <w:pPr>
        <w:pStyle w:val="4"/>
        <w:shd w:val="clear" w:color="auto" w:fill="auto"/>
        <w:tabs>
          <w:tab w:val="left" w:pos="92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Nơi thường xuyên đậu, đỗ của phương tiện là địa điểm thực tế được phép đậu, đỗ mà phương tiện đó đậu, đỗ nhiều nhất trong 12 tháng liên tục do chủ phương tiện tự xác định và đã đăng ký với Ủy ban nhân dân cấp xã hoặc Ủy ban nhân dân cấp huyện nơi không có đơn vị hành chính cấp xã tại nơi phương tiện đó đậu, đỗ.</w:t>
      </w:r>
    </w:p>
    <w:p w14:paraId="01A479C5">
      <w:pPr>
        <w:pStyle w:val="4"/>
        <w:shd w:val="clear" w:color="auto" w:fill="auto"/>
        <w:tabs>
          <w:tab w:val="left" w:pos="95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Hồ sơ đăng ký nơi thường xuyên đậu, đỗ của phương tiện gồm:</w:t>
      </w:r>
    </w:p>
    <w:p w14:paraId="4789F4C8">
      <w:pPr>
        <w:pStyle w:val="4"/>
        <w:shd w:val="clear" w:color="auto" w:fill="auto"/>
        <w:tabs>
          <w:tab w:val="left" w:pos="9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Giấy xác nhận đăng ký nơi thường xuyên đậu, đỗ của phương tiện theo mẫu tại Phụ lục ban hành kèm theo Nghị định này;</w:t>
      </w:r>
    </w:p>
    <w:p w14:paraId="6E4D5724">
      <w:pPr>
        <w:pStyle w:val="4"/>
        <w:shd w:val="clear" w:color="auto" w:fill="auto"/>
        <w:tabs>
          <w:tab w:val="left" w:pos="95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Thẻ Căn cước công dân hoặc Chứng minh nhân dân, Hộ chiếu còn hạn sử dụng của chủ phương tiện;</w:t>
      </w:r>
    </w:p>
    <w:p w14:paraId="0AF4D5C5">
      <w:pPr>
        <w:pStyle w:val="4"/>
        <w:shd w:val="clear" w:color="auto" w:fill="auto"/>
        <w:tabs>
          <w:tab w:val="left" w:pos="95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Giấy chứng nhận đăng ký, đăng kiểm đối với phương tiện phải đăng ký, đăng kiểm. Trường hợp phương tiện không phải đăng ký, đăng kiểm thì phải có xác nhận của Ủy ban nhân dân cấp xã hoặc Ủy ban nhân dân cấp huyện nơi không có đơn vị hành chính cấp xã về việc sử dụng phương tiện đó vào mục đích để ở;</w:t>
      </w:r>
    </w:p>
    <w:p w14:paraId="65204362">
      <w:pPr>
        <w:pStyle w:val="4"/>
        <w:shd w:val="clear" w:color="auto" w:fill="auto"/>
        <w:tabs>
          <w:tab w:val="left" w:pos="98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Hợp đồng thuê bến bãi cho phương tiện (nếu có).</w:t>
      </w:r>
    </w:p>
    <w:p w14:paraId="3CDCFD40">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Công dân có thể cung cấp bản sao có công chứng, chứng thực hoặc bản sao kèm bản chính của giấy tờ, tài liệu trong hồ sơ đăng ký để đơn vị tiếp nhận kiểm tra, đối chiếu.</w:t>
      </w:r>
    </w:p>
    <w:p w14:paraId="24C77832">
      <w:pPr>
        <w:pStyle w:val="4"/>
        <w:shd w:val="clear" w:color="auto" w:fill="auto"/>
        <w:tabs>
          <w:tab w:val="left" w:pos="92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Trong thời hạn 02 ngày làm việc kể từ ngày nhận đủ hồ sơ quy định tại khoản 3 Điều này, Ủy ban nhân dân cấp xã hoặc Ủy ban nhân dân cấp huyện nơi không có đơn vị hành chính cấp xã xem xét, xác nhận vào Giấy xác nhận đăng ký nơi thường xuyên đậu, đỗ của phương tiện cho chủ phương tiện.</w:t>
      </w:r>
    </w:p>
    <w:p w14:paraId="0EA66005">
      <w:pPr>
        <w:pStyle w:val="4"/>
        <w:shd w:val="clear" w:color="auto" w:fill="auto"/>
        <w:tabs>
          <w:tab w:val="left" w:pos="93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Chủ phương tiện sử dụng Giấy xác nhận đăng ký nơi thường xuyên đậu, đỗ của phương tiện đã được Ủy ban nhân dân cấp xã hoặc Ủy ban nhân dân cấp huyện nơi không có đơn vị hành chính cấp xã xác nhận để đăng ký thường trú, tạm trú cho bản thân mình hoặc người khác sinh sống, làm nghề lưu động trên phương tiện nếu chưa có nơi thường trú, tạm trú nào khác.</w:t>
      </w:r>
    </w:p>
    <w:p w14:paraId="55855DD3">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6. </w:t>
      </w:r>
      <w:r>
        <w:rPr>
          <w:rStyle w:val="11"/>
          <w:rFonts w:ascii="Arial" w:hAnsi="Arial" w:cs="Arial"/>
          <w:color w:val="000000"/>
          <w:sz w:val="20"/>
          <w:szCs w:val="20"/>
          <w:lang w:eastAsia="vi-VN"/>
        </w:rPr>
        <w:t>Trường hợp chủ phương tiện thay đổi nơi thường xuyên đậu, đỗ của phương tiện thì phải đăng ký lại nơi thường xuyên đậu, đỗ theo quy định tại Điều này và thực hiện đăng ký thường trú, tạm trú mới theo quy định của Luật Cư trú.</w:t>
      </w:r>
    </w:p>
    <w:p w14:paraId="6F71393F">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4. Nơi cư trú của người không có nơi thường trú, nơi tạm trú</w:t>
      </w:r>
    </w:p>
    <w:p w14:paraId="3646ED2D">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Người không có nơi thường trú, nơi tạm trú phải khai báo ngay thông tin về cư trú với cơ quan đăng ký cư trú tại nơi ở hiện tại.</w:t>
      </w:r>
    </w:p>
    <w:p w14:paraId="03F9F0C0">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Trường hợp qua kiểm tra, rà soát, cơ quan đăng ký cư trú phát hiện người thuộc trường hợp phải khai báo thông tin về cư trú thì có trách nhiệm hướng dẫn và yêu cầu công dân đó thực hiện việc khai báo. Trong thời hạn 30 ngày kể từ ngày cơ quan đăng ký cư trú yêu cầu công dân khai báo thông tin về cư trú, công dân phải có trách nhiệm đến cơ quan đăng ký cư trú để thực hiện khai báo.</w:t>
      </w:r>
    </w:p>
    <w:p w14:paraId="2C8CE3B8">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Cơ quan đăng ký cư trú kiểm tra, xác minh thông tin nhân thân của công dân đã khai báo qua trao đổi, lấy thông tin từ cha, mẹ, anh, chị em ruột hoặc người thân thích khác của công dân; trường hợp cần thiết, có văn bản đề nghị cơ quan, tổ chức có liên quan kiểm tra, xác minh và cung cấp thông tin.</w:t>
      </w:r>
    </w:p>
    <w:p w14:paraId="693E40F3">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Trường hợp qua kiểm tra, xác minh mà xác định thông tin công dân đã khai báo là chưa chính xác thì cơ quan đăng ký cư trú đề nghị công dân đó khai báo lại để kiểm tra, xác minh lại nếu thấy cần thiết. Thời hạn kiểm tra, xác minh lại được tính như thời hạn kiểm tra, xác minh lần đầu.</w:t>
      </w:r>
    </w:p>
    <w:p w14:paraId="18243156">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Sau khi kiểm tra, xác minh mà xác định được người đến khai báo là công dân Việt Nam và thông tin mà công dân đã khai báo là chính xác thì cơ quan đăng ký cư trú thực hiện thủ tục cần thiết để cơ quan quản lý Cơ sở dữ liệu quốc gia về dân cư xác lập, cấp số định danh cá nhân cho công dân nếu công dân đó chưa có số định danh cá nhân. Cơ quan đăng ký cư trú có trách nhiệm cập nhật thông tin của công dân vào Cơ sở dữ liệu về cư trú và thông báo, cấp giấy xác nhận thông tin về cư trú cho công dân.</w:t>
      </w:r>
    </w:p>
    <w:p w14:paraId="1620BBC6">
      <w:pPr>
        <w:pStyle w:val="4"/>
        <w:shd w:val="clear" w:color="auto" w:fill="auto"/>
        <w:tabs>
          <w:tab w:val="left" w:pos="90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Nội dung giấy xác nhận thông tin về cư trú bao gồm các thông tin cơ bản về công dân: Họ, chữ đệm và tên, số định danh cá nhân; ngày, tháng, năm sinh; giới tính; quốc tịch; dân tộc; tôn giáo; quê quán; nơi ở hiện tại; ngày, tháng, năm khai báo cư trú.</w:t>
      </w:r>
    </w:p>
    <w:p w14:paraId="1CB2EFFF">
      <w:pPr>
        <w:pStyle w:val="4"/>
        <w:shd w:val="clear" w:color="auto" w:fill="auto"/>
        <w:tabs>
          <w:tab w:val="left" w:pos="88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Người đã được cấp giấy xác nhận thông tin về cư trú có trách nhiệm đăng ký thường trú hoặc tạm trú ngay khi đủ điều kiện theo quy định của Luật Cư trú; trường hợp vẫn chưa đủ điều kiện đăng ký thường trú, tạm trú nhưng có thay đổi về thông tin nhân thân thì phải khai báo lại với Công an cấp xã nơi đã cấp giấy xác nhận để rà soát, cập nhật thông tin về nhân thân lên Cơ sở dữ liệu quốc gia về dân cư, Cơ sở dữ liệu về cư trú.</w:t>
      </w:r>
    </w:p>
    <w:p w14:paraId="4BB1755C">
      <w:pPr>
        <w:pStyle w:val="4"/>
        <w:shd w:val="clear" w:color="auto" w:fill="auto"/>
        <w:tabs>
          <w:tab w:val="left" w:pos="93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Ủy ban nhân dân cấp xã căn cứ vào giấy xác nhận thông tin về cư trú của công dân và thông tin của công dân trên Cơ sở dữ liệu quốc gia về dân cư tiến hành việc cập nhật thông tin về hộ tịch và cấp giấy tờ liên quan đến nhân thân cho công dân theo thẩm quyền.</w:t>
      </w:r>
    </w:p>
    <w:p w14:paraId="51793BAA">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5. Giấy tờ, tài liệu chứng minh chỗ ở hợp pháp</w:t>
      </w:r>
    </w:p>
    <w:p w14:paraId="70BD17E7">
      <w:pPr>
        <w:pStyle w:val="4"/>
        <w:shd w:val="clear" w:color="auto" w:fill="auto"/>
        <w:tabs>
          <w:tab w:val="left" w:pos="92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Công dân khi đăng ký cư trú cần chứng minh chỗ ở hợp pháp bằng một trong các loại giấy tờ, tài liệu sau:</w:t>
      </w:r>
    </w:p>
    <w:p w14:paraId="5EFB8E86">
      <w:pPr>
        <w:pStyle w:val="4"/>
        <w:shd w:val="clear" w:color="auto" w:fill="auto"/>
        <w:tabs>
          <w:tab w:val="left" w:pos="94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Giấy tờ, tài liệu chứng nhận về quyền sử dụng đất, quyền sở hữu nhà hoặc tài sản gắn liền với đất do cơ quan có thẩm quyền cấp (trong đó có thông tin về nhà ở);</w:t>
      </w:r>
    </w:p>
    <w:p w14:paraId="5349BDD4">
      <w:pPr>
        <w:pStyle w:val="4"/>
        <w:shd w:val="clear" w:color="auto" w:fill="auto"/>
        <w:tabs>
          <w:tab w:val="left" w:pos="96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Giấy phép xây dựng theo quy định của pháp luật về xây dựng (đối với trường hợp công trình phải cấp giấy phép xây dựng và đã xây dựng xong);</w:t>
      </w:r>
    </w:p>
    <w:p w14:paraId="65ED66E6">
      <w:pPr>
        <w:pStyle w:val="4"/>
        <w:shd w:val="clear" w:color="auto" w:fill="auto"/>
        <w:tabs>
          <w:tab w:val="left" w:pos="96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Hợp đồng mua bán nhà ở thuộc sở hữu nhà nước hoặc giấy tờ về hóa giá thanh lý nhà ở thuộc sở hữu nhà nước;</w:t>
      </w:r>
    </w:p>
    <w:p w14:paraId="2CF9551C">
      <w:pPr>
        <w:pStyle w:val="4"/>
        <w:shd w:val="clear" w:color="auto" w:fill="auto"/>
        <w:tabs>
          <w:tab w:val="left" w:pos="95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Hợp đồng mua nhà ở hoặc giấy tờ chứng minh việc đã bàn giao nhà ở, đã nhận nhà ở của doanh nghiệp có chức năng kinh doanh nhà ở đầu tư xây dựng để bán;</w:t>
      </w:r>
    </w:p>
    <w:p w14:paraId="66DAABBD">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đ) Giấy tờ về mua, thuê mua, nhận tặng cho, nhận thừa kế, nhận góp vốn, nhận đổi nhà ở phù hợp với quy định của pháp luật về đất đai và nhà ở;</w:t>
      </w:r>
    </w:p>
    <w:p w14:paraId="296AC078">
      <w:pPr>
        <w:pStyle w:val="4"/>
        <w:shd w:val="clear" w:color="auto" w:fill="auto"/>
        <w:tabs>
          <w:tab w:val="left" w:pos="95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e) </w:t>
      </w:r>
      <w:r>
        <w:rPr>
          <w:rStyle w:val="11"/>
          <w:rFonts w:ascii="Arial" w:hAnsi="Arial" w:cs="Arial"/>
          <w:color w:val="000000"/>
          <w:sz w:val="20"/>
          <w:szCs w:val="20"/>
          <w:lang w:eastAsia="vi-VN"/>
        </w:rPr>
        <w:t>Giấy tờ về giao tặng nhà tình nghĩa, nhà tình thương, nhà đại đoàn kết, cấp nhà ở, đất ở cho cá nhân, hộ gia đình;</w:t>
      </w:r>
    </w:p>
    <w:p w14:paraId="5D0B8F2F">
      <w:pPr>
        <w:pStyle w:val="4"/>
        <w:shd w:val="clear" w:color="auto" w:fill="auto"/>
        <w:tabs>
          <w:tab w:val="left" w:pos="96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g) </w:t>
      </w:r>
      <w:r>
        <w:rPr>
          <w:rStyle w:val="11"/>
          <w:rFonts w:ascii="Arial" w:hAnsi="Arial" w:cs="Arial"/>
          <w:color w:val="000000"/>
          <w:sz w:val="20"/>
          <w:szCs w:val="20"/>
          <w:lang w:eastAsia="vi-VN"/>
        </w:rPr>
        <w:t>Giấy tờ của Tòa án hoặc cơ quan hành chính nhà nước có thẩm quyền giải quyết cho được sở hữu nhà ở đã có hiệu lực pháp luật;</w:t>
      </w:r>
    </w:p>
    <w:p w14:paraId="7FEC68A9">
      <w:pPr>
        <w:pStyle w:val="4"/>
        <w:shd w:val="clear" w:color="auto" w:fill="auto"/>
        <w:tabs>
          <w:tab w:val="left" w:pos="96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h) </w:t>
      </w:r>
      <w:r>
        <w:rPr>
          <w:rStyle w:val="11"/>
          <w:rFonts w:ascii="Arial" w:hAnsi="Arial" w:cs="Arial"/>
          <w:color w:val="000000"/>
          <w:sz w:val="20"/>
          <w:szCs w:val="20"/>
          <w:lang w:eastAsia="vi-VN"/>
        </w:rPr>
        <w:t>Giấy tờ có xác nhận của Ủy ban nhân dân cấp xã hoặc Ủy ban nhân dân cấp huyện nơi không có đơn vị hành chính cấp xã về nhà ở, đất ở không có tranh chấp quyền sở hữu nhà ở, quyền sử dụng đất ở nếu không có một trong các giấy tờ nêu trên;</w:t>
      </w:r>
    </w:p>
    <w:p w14:paraId="3AEB8C04">
      <w:pPr>
        <w:pStyle w:val="4"/>
        <w:shd w:val="clear" w:color="auto" w:fill="auto"/>
        <w:tabs>
          <w:tab w:val="left" w:pos="97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i) </w:t>
      </w:r>
      <w:r>
        <w:rPr>
          <w:rStyle w:val="11"/>
          <w:rFonts w:ascii="Arial" w:hAnsi="Arial" w:cs="Arial"/>
          <w:color w:val="000000"/>
          <w:sz w:val="20"/>
          <w:szCs w:val="20"/>
          <w:lang w:eastAsia="vi-VN"/>
        </w:rPr>
        <w:t xml:space="preserve">Giấy tờ chứng minh về đăng ký, đăng kiểm phương tiện thuộc quyền sở hữu. Trường hợp phương tiện không phải đăng ký, đăng kiểm thì cần có xác nhận của </w:t>
      </w:r>
      <w:r>
        <w:rPr>
          <w:rStyle w:val="11"/>
          <w:rFonts w:ascii="Arial" w:hAnsi="Arial" w:cs="Arial"/>
          <w:color w:val="000000"/>
          <w:sz w:val="20"/>
          <w:szCs w:val="20"/>
          <w:lang w:val="en-US" w:eastAsia="vi-VN"/>
        </w:rPr>
        <w:t>Ủ</w:t>
      </w:r>
      <w:r>
        <w:rPr>
          <w:rStyle w:val="11"/>
          <w:rFonts w:ascii="Arial" w:hAnsi="Arial" w:cs="Arial"/>
          <w:color w:val="000000"/>
          <w:sz w:val="20"/>
          <w:szCs w:val="20"/>
          <w:lang w:eastAsia="vi-VN"/>
        </w:rPr>
        <w:t>y ban nhân dân cấp xã hoặc Ủy ban nhân dân cấp huyện nơi không có đơn vị hành chính cấp xã về việc phương tiện được sử dụng để ở; Giấy xác nhận đăng ký nơi thường xuyên đậu, đỗ của phương tiện nếu nơi đăng ký cư trú không phải nơi đăng ký phương tiện hoặc phương tiện đó không phải đăng ký, đăng kiểm;</w:t>
      </w:r>
    </w:p>
    <w:p w14:paraId="5023818F">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k) Giấy tờ, tài liệu chứng minh việc cho thuê, cho mượn, cho ở nhờ chỗ ở hợp pháp là văn bản cho thuê, cho mượn, cho ở nhờ của cơ quan, tổ chức, cá nhân phù hợp với quy định của pháp luật về đất đai và nhà ở;</w:t>
      </w:r>
    </w:p>
    <w:p w14:paraId="3AF878C1">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val="en-US"/>
        </w:rPr>
        <w:t xml:space="preserve">l) </w:t>
      </w:r>
      <w:r>
        <w:rPr>
          <w:rStyle w:val="11"/>
          <w:rFonts w:ascii="Arial" w:hAnsi="Arial" w:cs="Arial"/>
          <w:color w:val="000000"/>
          <w:sz w:val="20"/>
          <w:szCs w:val="20"/>
          <w:lang w:eastAsia="vi-VN"/>
        </w:rPr>
        <w:t>Giấy tờ của cơ quan, tổ chức do thủ trưởng cơ quan, tổ chức ký tên, đóng dấu chứng minh về việc được cấp, sử dụng nhà ở, chuyển nhượng nhà ở, có nhà ở tạo lập trên đất do cơ quan, tổ chức giao đất để làm nhà ở (đối với nhà ở, đất thuộc thẩm quyền quản lý của cơ quan, tổ chức).</w:t>
      </w:r>
    </w:p>
    <w:p w14:paraId="35CE8079">
      <w:pPr>
        <w:pStyle w:val="4"/>
        <w:shd w:val="clear" w:color="auto" w:fill="auto"/>
        <w:tabs>
          <w:tab w:val="left" w:pos="90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Trường hợp công dân đăng ký thường trú tại chỗ ở do thuê, mượn, ở nhờ theo quy định tại khoản 3 Điều 20 Luật Cư trú phải có thêm giấy tờ, tài liệu chứng minh đủ diện tích nhà ở để đăng ký thường trú theo quy định.</w:t>
      </w:r>
    </w:p>
    <w:p w14:paraId="4DDAAB5D">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Giấy tờ, tài liệu chứng minh đủ diện tích nhà ở để đăng ký thường trú gồm: Giấy chứng nhận về quyền sử dụng đất, quyền sở hữu nhà ở có thể hiện thông tin về diện tích nhà ở đang sử dụng hoặc xác nhận của Ủy ban nhân dân cấp xã, Ủy ban nhân dân cấp huyện nơi không có đơn vị hành chính cấp xã về điều kiện diện tích bình quân bảo đảm theo quy định của Hội đồng nhân dân tỉnh, thành phố trực thuộc trung ương.</w:t>
      </w:r>
    </w:p>
    <w:p w14:paraId="678BFF60">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Trường hợp thông tin chứng minh về chỗ ở hợp pháp của công dân đã có trong Cơ sở dữ liệu chuyên ngành đã được kết nối, chia sẻ với cơ quan đăng ký cư trú thì cơ quan đăng ký cư trú tự kiểm tra, xác minh, không yêu cầu công dân phải cung cấp giấy tờ chứng minh.</w:t>
      </w:r>
    </w:p>
    <w:p w14:paraId="783337FA">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6. Giấy tờ, tài liệu chứng minh quan hệ nhân thân</w:t>
      </w:r>
    </w:p>
    <w:p w14:paraId="6B0111BE">
      <w:pPr>
        <w:pStyle w:val="4"/>
        <w:shd w:val="clear" w:color="auto" w:fill="auto"/>
        <w:tabs>
          <w:tab w:val="left" w:pos="89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Giấy tờ, tài liệu chứng minh quan hệ nhân thân thuộc trường hợp quy định tại điểm a khoản 2 Điều 20 Luật Cư trú, bao gồm:</w:t>
      </w:r>
    </w:p>
    <w:p w14:paraId="5113A886">
      <w:pPr>
        <w:pStyle w:val="4"/>
        <w:shd w:val="clear" w:color="auto" w:fill="auto"/>
        <w:tabs>
          <w:tab w:val="left" w:pos="91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Giấy tờ, tài liệu để chứng minh quan hệ vợ, chồng: Giấy chứng nhận kết hôn; giấy xác nhận tình trạng hôn nhân; xác nhận của Ủy ban nhân dân cấp xã hoặc Ủy ban nhân dân cấp huyện nơi không có đơn vị hành chính cấp xã nơi cư trú;</w:t>
      </w:r>
    </w:p>
    <w:p w14:paraId="25358414">
      <w:pPr>
        <w:pStyle w:val="4"/>
        <w:shd w:val="clear" w:color="auto" w:fill="auto"/>
        <w:tabs>
          <w:tab w:val="left" w:pos="92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Giấy tờ, tài liệu để chứng minh quan hệ cha, mẹ, con: Giấy khai sinh; chứng nhận hoặc quyết định việc nuôi con nuôi; quyết định việc nhận cha, mẹ, con; xác nhận của Ủy ban nhân dân cấp xã hoặc Ủy ban nhân dân cấp huyện nơi không có đơn vị hành chính cấp xã nơi cư trú; Hộ chiếu còn thời hạn sử dụng có chứa thông tin thể hiện quan hệ nhân thân cha hoặc mẹ với con; quyết định của Tòa án, trích lục hộ tịch hoặc văn bản của cơ quan y tế, cơ quan giám định, cơ quan khác có thẩm quyền xác nhận về quan hệ cha, mẹ với con.</w:t>
      </w:r>
    </w:p>
    <w:p w14:paraId="0956BB66">
      <w:pPr>
        <w:pStyle w:val="4"/>
        <w:shd w:val="clear" w:color="auto" w:fill="auto"/>
        <w:tabs>
          <w:tab w:val="left" w:pos="89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Giấy tờ, tài liệu chứng minh quan hệ nhân thân thuộc trường hợp quy định tại điểm b, điểm c khoản 2 Điều 20 Luật Cư trú, bao gồm:</w:t>
      </w:r>
    </w:p>
    <w:p w14:paraId="36A25E26">
      <w:pPr>
        <w:pStyle w:val="4"/>
        <w:shd w:val="clear" w:color="auto" w:fill="auto"/>
        <w:tabs>
          <w:tab w:val="left" w:pos="90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Giấy tờ, tài liệu để chứng minh mối quan hệ anh, chị, em ruột, cháu ruột: Giấy khai sinh, xác nhận của Ủy ban nhân dân cấp xã hoặc Ủy ban nhân dân cấp huyện nơi không có đơn vị hành chính cấp xã nơi cư trú;</w:t>
      </w:r>
    </w:p>
    <w:p w14:paraId="12A60A30">
      <w:pPr>
        <w:pStyle w:val="4"/>
        <w:shd w:val="clear" w:color="auto" w:fill="auto"/>
        <w:tabs>
          <w:tab w:val="left" w:pos="932"/>
        </w:tabs>
        <w:spacing w:after="120" w:line="240" w:lineRule="auto"/>
        <w:ind w:firstLine="720"/>
        <w:jc w:val="both"/>
        <w:rPr>
          <w:rFonts w:ascii="Arial" w:hAnsi="Arial" w:cs="Arial"/>
          <w:sz w:val="20"/>
          <w:szCs w:val="20"/>
          <w:lang w:val="en-US"/>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Giấy tờ, tài liệu chứng minh mối quan hệ cụ nội, cụ ngoại, ông nội, bà nội, ông ngoại, bà ngoại, anh, chị, em ruột, cô, dì, chú, bác, cậu ruột, người giám hộ: Quyết định cử người giám hộ; xác nhận của Ủy ban nhân dân cấp xã hoặc Ủy ban nhân dân cấp huyện nơi không có đơn vị hành chính cấp xã tại nơi cư trú về mối quan hệ nhân thân;</w:t>
      </w:r>
    </w:p>
    <w:p w14:paraId="63E2A64F">
      <w:pPr>
        <w:pStyle w:val="4"/>
        <w:shd w:val="clear" w:color="auto" w:fill="auto"/>
        <w:tabs>
          <w:tab w:val="left" w:pos="92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Giấy tờ, tài liệu chứng minh không còn cha, mẹ: Giấy chứng tử của cha, mẹ hoặc quyết định của Tòa án tuyên bố cha, mẹ mất tích, chết, xác nhận của Ủy ban nhân dân cấp xã hoặc Ủy ban nhân dân cấp huyện nơi không có đơn vị hành chính cấp xã tại nơi cư trú về việc cha, mẹ đã chết;</w:t>
      </w:r>
    </w:p>
    <w:p w14:paraId="6A5E977B">
      <w:pPr>
        <w:pStyle w:val="4"/>
        <w:shd w:val="clear" w:color="auto" w:fill="auto"/>
        <w:tabs>
          <w:tab w:val="left" w:pos="93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Giấy tờ chứng minh người cao tuổi: Giấy khai sinh, thẻ Căn cước công dân hoặc Chứng minh nhân dân, Hộ chiếu; Sổ Bảo hiểm xã hội, Thẻ bảo hiểm y tế hoặc xác nhận của Ủy ban nhân dân cấp xã, Ủy ban nhân dân cấp huyện nơi không có đơn vị hành chính cấp xã tại nơi cư trú về ngày, tháng, năm sinh;</w:t>
      </w:r>
    </w:p>
    <w:p w14:paraId="5A8E0297">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đ) Giấy tờ chứng minh người khuyết tật đặc biệt nặng, người khuyết tật nặng, người không có khả năng lao động, người bị bệnh tâm thần hoặc bệnh khác làm mất khả năng nhận thức, khả năng điều khiển hành vi: Chứng nhận của cơ sở y tế từ cấp huyện trở lên hoặc xác nhận của Ủy ban nhân dân cấp xã, Ủy ban nhân dân cấp huyện nơi không có đơn vị hành chính cấp xã tại nơi cư trú;</w:t>
      </w:r>
    </w:p>
    <w:p w14:paraId="5648B4F8">
      <w:pPr>
        <w:pStyle w:val="4"/>
        <w:shd w:val="clear" w:color="auto" w:fill="auto"/>
        <w:tabs>
          <w:tab w:val="left" w:pos="93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e) </w:t>
      </w:r>
      <w:r>
        <w:rPr>
          <w:rStyle w:val="11"/>
          <w:rFonts w:ascii="Arial" w:hAnsi="Arial" w:cs="Arial"/>
          <w:color w:val="000000"/>
          <w:sz w:val="20"/>
          <w:szCs w:val="20"/>
          <w:lang w:eastAsia="vi-VN"/>
        </w:rPr>
        <w:t>Giấy tờ chứng minh người chưa thành niên gồm: Giấy khai sinh, thẻ Căn cước công dân hoặc Chứng minh nhân dân, Hộ chiếu, Sổ Bảo hiểm xã hội, Thẻ bảo hiểm y tế hoặc xác nhận của Ủy ban nhân dân cấp xã, Ủy ban nhân dân cấp huyện nơi không có đơn vị hành chính cấp xã tại nơi cư trú về ngày, tháng, năm sinh.</w:t>
      </w:r>
    </w:p>
    <w:p w14:paraId="3F45EFA5">
      <w:pPr>
        <w:pStyle w:val="4"/>
        <w:shd w:val="clear" w:color="auto" w:fill="auto"/>
        <w:tabs>
          <w:tab w:val="left" w:pos="90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Trường hợp thông tin chứng minh quan hệ nhân thân của công dân đã có trên Cơ sở dữ liệu quốc gia về dân cư hoặc cơ sở dữ liệu chuyên ngành thì cơ quan đăng ký cư trú không yêu cầu công dân phải cung cấp giấy tờ chứng minh quan hệ nhân thân.</w:t>
      </w:r>
    </w:p>
    <w:p w14:paraId="73D654CC">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7. Hồ sơ, thủ tục xóa đăng ký thường trú</w:t>
      </w:r>
    </w:p>
    <w:p w14:paraId="0EEF5959">
      <w:pPr>
        <w:pStyle w:val="4"/>
        <w:shd w:val="clear" w:color="auto" w:fill="auto"/>
        <w:tabs>
          <w:tab w:val="left" w:pos="90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Trong thời hạn 01 ngày kể từ ngày nhận được quyết định hủy bỏ đăng ký thường trú của thủ trưởng cấp trên trực tiếp hoặc ngay sau khi ra quyết định hủy bỏ đăng ký thường trú đối với công dân, cơ quan đăng ký cư trú thực hiện việc xóa đăng ký thường trú đối với công dân và cập nhật việc xóa đăng ký thường trú vào Cơ sở dữ liệu quốc gia về dân cư, Cơ sở dữ liệu về cư trú.</w:t>
      </w:r>
    </w:p>
    <w:p w14:paraId="59B4398A">
      <w:pPr>
        <w:pStyle w:val="4"/>
        <w:shd w:val="clear" w:color="auto" w:fill="auto"/>
        <w:tabs>
          <w:tab w:val="left" w:pos="90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Trừ trường hợp quy định tại khoản 1 Điều này, trong thời hạn 07 ngày kể từ ngày hộ gia đình có người thuộc diện xóa đăng ký thường trú thì người thuộc diện xóa đăng ký thường trú hoặc đại diện hộ gia đình có trách nhiệm nộp hồ sơ làm thủ tục xóa đăng ký thường trú đến cơ quan đăng ký cư trú. Hồ sơ xóa đăng ký thường trú gồm: Tờ khai thay đổi thông tin cư trú và giấy tờ, tài liệu chứng minh thuộc một trong các trường hợp xóa đăng ký thường trú.</w:t>
      </w:r>
    </w:p>
    <w:p w14:paraId="2DD53FB0">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Cơ quan, đơn vị quản lý người học tập, công tác, làm việc trong lực lượng vũ trang nhân dân có văn bản đề nghị cơ quan đăng ký cư trú trên địa bàn đóng quân xóa đăng ký thường trú đối với người thuộc đơn vị mình quản lý. Văn bản đề nghị cần nêu rõ họ, chữ đệm và tên khai sinh; số Căn cước công dân hoặc Chứng minh nhân dân của người cần xóa đăng ký thường trú; lý do đề nghị xóa đăng ký thường trú.</w:t>
      </w:r>
    </w:p>
    <w:p w14:paraId="2D4EA346">
      <w:pPr>
        <w:pStyle w:val="4"/>
        <w:shd w:val="clear" w:color="auto" w:fill="auto"/>
        <w:tabs>
          <w:tab w:val="left" w:pos="8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Trong thời hạn 05 ngày làm việc, kể từ ngày nhận được hồ sơ hợp lệ thì cơ quan đăng ký cư trú phải xóa đăng ký thường trú đối với công dân và cập nhật việc xóa đăng ký thường trú vào Cơ sở dữ liệu quốc gia về dân cư, Cơ sở dữ liệu về cư trú.</w:t>
      </w:r>
    </w:p>
    <w:p w14:paraId="3964CDE7">
      <w:pPr>
        <w:pStyle w:val="4"/>
        <w:shd w:val="clear" w:color="auto" w:fill="auto"/>
        <w:tabs>
          <w:tab w:val="left" w:pos="90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Cơ quan đăng ký cư trú thực hiện việc xóa đăng ký thường trú đối với công dân khi phát hiện công dân đó thuộc một trong các trường hợp bị xóa đăng ký thường trú. Trước khi thực hiện việc xóa đăng ký thường trú, cơ quan đăng ký cư trú thông báo về việc xóa đăng ký thường trú tới công dân hoặc đại diện hộ gia đình để biết và thực hiện việc nộp hồ sơ làm thủ tục xóa đăng ký thường trú theo quy định tại khoản 2 Điều này.</w:t>
      </w:r>
    </w:p>
    <w:p w14:paraId="17A8A15A">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Trường hợp quá 07 ngày kể từ ngày cơ quan đăng ký cư trú thông báo mà người thuộc diện xóa đăng ký thường trú hoặc đại diện hộ gia đình không nộp hồ sơ làm thủ tục xóa đăng ký thường trú thì cơ quan đăng ký cư trú tiến hành lập biên bản về việc công dân, đại diện hộ gia đình không nộp hồ sơ làm thủ tục xóa đăng ký thường trú và thực hiện xóa đăng ký thường trú đối với công dân. Cơ quan đăng ký cư trú thông báo bằng văn bản cho công dân đó hoặc chủ hộ về việc xóa đăng ký thường trú sau khi đã thực hiện.</w:t>
      </w:r>
    </w:p>
    <w:p w14:paraId="21171EE5">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8. Hồ sơ, thủ tục xóa đăng ký tạm trú</w:t>
      </w:r>
    </w:p>
    <w:p w14:paraId="302BD3AC">
      <w:pPr>
        <w:pStyle w:val="4"/>
        <w:shd w:val="clear" w:color="auto" w:fill="auto"/>
        <w:tabs>
          <w:tab w:val="left" w:pos="89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Trong thời hạn 01 ngày kể từ ngày nhận được quyết định hủy bỏ đăng ký tạm trú của thủ trưởng cấp trên trực tiếp hoặc ngay sau khi ra quyết định hủy bỏ đăng ký tạm trú đối với công dân, cơ quan đăng ký cư trú thực hiện việc xóa đăng ký tạm trú đối với công dân và cập nhật việc xóa đăng ký tạm trú vào Cơ sở dữ liệu quốc gia về dân cư, Cơ sở dữ liệu về cư trú.</w:t>
      </w:r>
    </w:p>
    <w:p w14:paraId="1BD2F921">
      <w:pPr>
        <w:pStyle w:val="4"/>
        <w:shd w:val="clear" w:color="auto" w:fill="auto"/>
        <w:tabs>
          <w:tab w:val="left" w:pos="889"/>
        </w:tabs>
        <w:spacing w:after="120" w:line="240" w:lineRule="auto"/>
        <w:ind w:firstLine="720"/>
        <w:jc w:val="both"/>
        <w:rPr>
          <w:rFonts w:ascii="Arial" w:hAnsi="Arial" w:cs="Arial"/>
          <w:sz w:val="20"/>
          <w:szCs w:val="20"/>
          <w:lang w:val="en-US"/>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Trừ trường hợp quy định tại khoản 1 Điều này, trong thời hạn 07 ngày kể từ ngày hộ gia đình có người thuộc diện xóa đăng ký tạm trú thì người thuộc diện xóa đăng ký tạm trú hoặc đại diện hộ gia đình có trách nhiệm nộp hồ sơ làm thủ tục xóa đăng ký tạm trú đến cơ quan đăng ký cư trú. Hồ sơ xóa đăng ký tạm trú gồm: Tờ khai thay đổi thông tin cư trú và giấy tờ, tài liệu chứng minh thuộc một trong các trường hợp xóa đăng ký tạm trú.</w:t>
      </w:r>
    </w:p>
    <w:p w14:paraId="057AD52E">
      <w:pPr>
        <w:pStyle w:val="4"/>
        <w:shd w:val="clear" w:color="auto" w:fill="auto"/>
        <w:tabs>
          <w:tab w:val="left" w:pos="93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Cơ quan, đơn vị quản lý người học tập, công tác, làm việc trong lực lượng vũ trang nhân dân có văn bản đề nghị cơ quan đăng ký cư trú trên địa bàn đóng quân xóa đăng ký tạm trú đối với người thuộc đơn vị mình quản lý. Văn bản đề nghị cần nêu rõ họ, chữ đệm và tên khai sinh; số Căn cước công dân hoặc Chứng minh nhân dân của người cần xóa đăng ký tạm trú; lý do đề nghị xóa đăng ký tạm trú.</w:t>
      </w:r>
    </w:p>
    <w:p w14:paraId="3E0B93D4">
      <w:pPr>
        <w:pStyle w:val="4"/>
        <w:shd w:val="clear" w:color="auto" w:fill="auto"/>
        <w:tabs>
          <w:tab w:val="left" w:pos="93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Trong thời hạn 02 ngày làm việc, kể từ ngày nhận được hồ sơ hợp lệ thì cơ quan đăng ký cư trú phải xóa đăng ký tạm trú đối với công dân và cập nhật việc xóa đăng ký tạm trú vào Cơ sở dữ liệu quốc gia về dân cư, Cơ sở dữ liệu về cư trú.</w:t>
      </w:r>
    </w:p>
    <w:p w14:paraId="30DC039E">
      <w:pPr>
        <w:pStyle w:val="4"/>
        <w:shd w:val="clear" w:color="auto" w:fill="auto"/>
        <w:tabs>
          <w:tab w:val="left" w:pos="94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Cơ quan đăng ký cư trú thực hiện việc xóa đăng ký tạm trú đối với công dân khi phát hiện công dân đó thuộc một trong các trường hợp bị xóa đăng ký tạm trú. Trước khi thực hiện việc xóa đăng ký tạm trú, cơ quan đăng ký cư trú thông báo về việc xóa đăng ký tạm trú tới công dân hoặc đại diện hộ gia đình để biết và thực hiện việc nộp hồ sơ làm thủ tục xóa đăng ký tạm trú theo quy định tại khoản 2 Điều này.</w:t>
      </w:r>
    </w:p>
    <w:p w14:paraId="13E889D8">
      <w:pPr>
        <w:pStyle w:val="4"/>
        <w:shd w:val="clear" w:color="auto" w:fill="auto"/>
        <w:spacing w:after="0" w:line="240" w:lineRule="auto"/>
        <w:ind w:firstLine="720"/>
        <w:jc w:val="both"/>
        <w:rPr>
          <w:rFonts w:ascii="Arial" w:hAnsi="Arial" w:cs="Arial"/>
          <w:sz w:val="20"/>
          <w:szCs w:val="20"/>
        </w:rPr>
      </w:pPr>
      <w:r>
        <w:rPr>
          <w:rStyle w:val="11"/>
          <w:rFonts w:ascii="Arial" w:hAnsi="Arial" w:cs="Arial"/>
          <w:color w:val="000000"/>
          <w:sz w:val="20"/>
          <w:szCs w:val="20"/>
          <w:lang w:eastAsia="vi-VN"/>
        </w:rPr>
        <w:t>Trường hợp quá 07 ngày kể từ ngày cơ quan đăng ký cư trú thông báo mà người thuộc diện xóa đăng ký tạm trú hoặc đại diện hộ gia đình không nộp hồ sơ làm thủ tục xóa đăng ký tạm trú thì cơ quan đăng ký cư trú tiến hành lập biên bản về việc công dân, đại diện hộ gia đình không nộp hồ sơ làm thủ tục xóa đăng ký tạm trú và thực hiện xóa đăng ký tạm trú đối với công dân. Cơ quan đăng ký cư trú thông báo bằng văn bản cho công dân đó hoặc chủ hộ về việc xóa đăng ký tạm trú sau khi đã thực hiện.</w:t>
      </w:r>
    </w:p>
    <w:p w14:paraId="226B256F">
      <w:pPr>
        <w:pStyle w:val="4"/>
        <w:shd w:val="clear" w:color="auto" w:fill="auto"/>
        <w:spacing w:after="0" w:line="240" w:lineRule="auto"/>
        <w:ind w:firstLine="0"/>
        <w:jc w:val="center"/>
        <w:rPr>
          <w:rStyle w:val="11"/>
          <w:rFonts w:ascii="Arial" w:hAnsi="Arial" w:cs="Arial"/>
          <w:b/>
          <w:bCs/>
          <w:color w:val="000000"/>
          <w:sz w:val="20"/>
          <w:szCs w:val="20"/>
          <w:lang w:eastAsia="vi-VN"/>
        </w:rPr>
      </w:pPr>
    </w:p>
    <w:p w14:paraId="634F25E2">
      <w:pPr>
        <w:pStyle w:val="4"/>
        <w:shd w:val="clear" w:color="auto" w:fill="auto"/>
        <w:spacing w:after="0" w:line="240" w:lineRule="auto"/>
        <w:ind w:firstLine="0"/>
        <w:jc w:val="center"/>
        <w:rPr>
          <w:rFonts w:ascii="Arial" w:hAnsi="Arial" w:cs="Arial"/>
          <w:sz w:val="20"/>
          <w:szCs w:val="20"/>
        </w:rPr>
      </w:pPr>
    </w:p>
    <w:p w14:paraId="3B4CFBB2">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 xml:space="preserve">Điều 9. Thông tin trong Cơ sở dữ liệu về </w:t>
      </w:r>
      <w:r>
        <w:rPr>
          <w:rStyle w:val="11"/>
          <w:rFonts w:ascii="Arial" w:hAnsi="Arial" w:cs="Arial"/>
          <w:b/>
          <w:bCs/>
          <w:color w:val="000000"/>
          <w:sz w:val="20"/>
          <w:szCs w:val="20"/>
          <w:lang w:val="en-US" w:eastAsia="vi-VN"/>
        </w:rPr>
        <w:t>cư</w:t>
      </w:r>
      <w:r>
        <w:rPr>
          <w:rStyle w:val="11"/>
          <w:rFonts w:ascii="Arial" w:hAnsi="Arial" w:cs="Arial"/>
          <w:b/>
          <w:bCs/>
          <w:color w:val="000000"/>
          <w:sz w:val="20"/>
          <w:szCs w:val="20"/>
          <w:lang w:eastAsia="vi-VN"/>
        </w:rPr>
        <w:t xml:space="preserve"> trú của công dân</w:t>
      </w:r>
    </w:p>
    <w:p w14:paraId="569D8792">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Thông tin trong Cơ sở dữ liệu về cư trú của công dân gồm:</w:t>
      </w:r>
    </w:p>
    <w:p w14:paraId="394F49C7">
      <w:pPr>
        <w:pStyle w:val="4"/>
        <w:shd w:val="clear" w:color="auto" w:fill="auto"/>
        <w:tabs>
          <w:tab w:val="left" w:pos="9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Số hồ sơ cư trú.</w:t>
      </w:r>
    </w:p>
    <w:p w14:paraId="1699648D">
      <w:pPr>
        <w:pStyle w:val="4"/>
        <w:shd w:val="clear" w:color="auto" w:fill="auto"/>
        <w:tabs>
          <w:tab w:val="left" w:pos="92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Nơi thường trú, thời gian bắt đầu đến thường trú; lý do, thời điểm xóa đăng ký thường trú.</w:t>
      </w:r>
    </w:p>
    <w:p w14:paraId="5931DEAD">
      <w:pPr>
        <w:pStyle w:val="4"/>
        <w:shd w:val="clear" w:color="auto" w:fill="auto"/>
        <w:tabs>
          <w:tab w:val="left" w:pos="93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Nơi tạm trú, thời gian bắt đầu đến tạm trú, thời gian tạm trú; lý do, thời điểm xóa đăng ký tạm trú.</w:t>
      </w:r>
    </w:p>
    <w:p w14:paraId="213321C1">
      <w:pPr>
        <w:pStyle w:val="4"/>
        <w:shd w:val="clear" w:color="auto" w:fill="auto"/>
        <w:tabs>
          <w:tab w:val="left" w:pos="98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Tình trạng khai báo tạm vắng, thời gian tạm vắng.</w:t>
      </w:r>
    </w:p>
    <w:p w14:paraId="68467419">
      <w:pPr>
        <w:pStyle w:val="4"/>
        <w:shd w:val="clear" w:color="auto" w:fill="auto"/>
        <w:tabs>
          <w:tab w:val="left" w:pos="98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5. </w:t>
      </w:r>
      <w:r>
        <w:rPr>
          <w:rStyle w:val="11"/>
          <w:rFonts w:ascii="Arial" w:hAnsi="Arial" w:cs="Arial"/>
          <w:color w:val="000000"/>
          <w:sz w:val="20"/>
          <w:szCs w:val="20"/>
          <w:lang w:eastAsia="vi-VN"/>
        </w:rPr>
        <w:t>Nơi ở hiện tại, thời gian bắt đầu đến nơi ở hiện tại.</w:t>
      </w:r>
    </w:p>
    <w:p w14:paraId="31BB8209">
      <w:pPr>
        <w:pStyle w:val="4"/>
        <w:shd w:val="clear" w:color="auto" w:fill="auto"/>
        <w:tabs>
          <w:tab w:val="left" w:pos="98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6. </w:t>
      </w:r>
      <w:r>
        <w:rPr>
          <w:rStyle w:val="11"/>
          <w:rFonts w:ascii="Arial" w:hAnsi="Arial" w:cs="Arial"/>
          <w:color w:val="000000"/>
          <w:sz w:val="20"/>
          <w:szCs w:val="20"/>
          <w:lang w:eastAsia="vi-VN"/>
        </w:rPr>
        <w:t>Nơi lưu trú, thời gian lưu trú.</w:t>
      </w:r>
    </w:p>
    <w:p w14:paraId="37A51A0F">
      <w:pPr>
        <w:pStyle w:val="4"/>
        <w:shd w:val="clear" w:color="auto" w:fill="auto"/>
        <w:tabs>
          <w:tab w:val="left" w:pos="94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7. </w:t>
      </w:r>
      <w:r>
        <w:rPr>
          <w:rStyle w:val="11"/>
          <w:rFonts w:ascii="Arial" w:hAnsi="Arial" w:cs="Arial"/>
          <w:color w:val="000000"/>
          <w:sz w:val="20"/>
          <w:szCs w:val="20"/>
          <w:lang w:eastAsia="vi-VN"/>
        </w:rPr>
        <w:t>Họ, chữ đệm và tên, số định danh cá nhân hoặc số Chứng minh nhân dân của chủ hộ và các thành viên hộ gia đình.</w:t>
      </w:r>
    </w:p>
    <w:p w14:paraId="2D18CABD">
      <w:pPr>
        <w:pStyle w:val="4"/>
        <w:shd w:val="clear" w:color="auto" w:fill="auto"/>
        <w:tabs>
          <w:tab w:val="left" w:pos="102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8. </w:t>
      </w:r>
      <w:r>
        <w:rPr>
          <w:rStyle w:val="11"/>
          <w:rFonts w:ascii="Arial" w:hAnsi="Arial" w:cs="Arial"/>
          <w:color w:val="000000"/>
          <w:sz w:val="20"/>
          <w:szCs w:val="20"/>
          <w:lang w:eastAsia="vi-VN"/>
        </w:rPr>
        <w:t>Quan hệ với chủ hộ.</w:t>
      </w:r>
    </w:p>
    <w:p w14:paraId="109DA7EA">
      <w:pPr>
        <w:pStyle w:val="4"/>
        <w:shd w:val="clear" w:color="auto" w:fill="auto"/>
        <w:tabs>
          <w:tab w:val="left" w:pos="102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9. </w:t>
      </w:r>
      <w:r>
        <w:rPr>
          <w:rStyle w:val="11"/>
          <w:rFonts w:ascii="Arial" w:hAnsi="Arial" w:cs="Arial"/>
          <w:color w:val="000000"/>
          <w:sz w:val="20"/>
          <w:szCs w:val="20"/>
          <w:lang w:eastAsia="vi-VN"/>
        </w:rPr>
        <w:t>Số định danh cá nhân.</w:t>
      </w:r>
    </w:p>
    <w:p w14:paraId="55972413">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10. </w:t>
      </w:r>
      <w:r>
        <w:rPr>
          <w:rStyle w:val="11"/>
          <w:rFonts w:ascii="Arial" w:hAnsi="Arial" w:cs="Arial"/>
          <w:color w:val="000000"/>
          <w:sz w:val="20"/>
          <w:szCs w:val="20"/>
          <w:lang w:eastAsia="vi-VN"/>
        </w:rPr>
        <w:t>Họ, chữ đệm và tên khai sinh.</w:t>
      </w:r>
    </w:p>
    <w:p w14:paraId="1AF1F1A4">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11. </w:t>
      </w:r>
      <w:r>
        <w:rPr>
          <w:rStyle w:val="11"/>
          <w:rFonts w:ascii="Arial" w:hAnsi="Arial" w:cs="Arial"/>
          <w:color w:val="000000"/>
          <w:sz w:val="20"/>
          <w:szCs w:val="20"/>
          <w:lang w:eastAsia="vi-VN"/>
        </w:rPr>
        <w:t>Ngày, tháng, năm sinh.</w:t>
      </w:r>
    </w:p>
    <w:p w14:paraId="57FDD871">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12. </w:t>
      </w:r>
      <w:r>
        <w:rPr>
          <w:rStyle w:val="11"/>
          <w:rFonts w:ascii="Arial" w:hAnsi="Arial" w:cs="Arial"/>
          <w:color w:val="000000"/>
          <w:sz w:val="20"/>
          <w:szCs w:val="20"/>
          <w:lang w:eastAsia="vi-VN"/>
        </w:rPr>
        <w:t>Giới tính.</w:t>
      </w:r>
    </w:p>
    <w:p w14:paraId="737E12E6">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13. </w:t>
      </w:r>
      <w:r>
        <w:rPr>
          <w:rStyle w:val="11"/>
          <w:rFonts w:ascii="Arial" w:hAnsi="Arial" w:cs="Arial"/>
          <w:color w:val="000000"/>
          <w:sz w:val="20"/>
          <w:szCs w:val="20"/>
          <w:lang w:eastAsia="vi-VN"/>
        </w:rPr>
        <w:t>Nơi đăng ký khai sinh.</w:t>
      </w:r>
    </w:p>
    <w:p w14:paraId="128C3053">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14. </w:t>
      </w:r>
      <w:r>
        <w:rPr>
          <w:rStyle w:val="11"/>
          <w:rFonts w:ascii="Arial" w:hAnsi="Arial" w:cs="Arial"/>
          <w:color w:val="000000"/>
          <w:sz w:val="20"/>
          <w:szCs w:val="20"/>
          <w:lang w:eastAsia="vi-VN"/>
        </w:rPr>
        <w:t>Quê quán.</w:t>
      </w:r>
    </w:p>
    <w:p w14:paraId="7A465B37">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15. </w:t>
      </w:r>
      <w:r>
        <w:rPr>
          <w:rStyle w:val="11"/>
          <w:rFonts w:ascii="Arial" w:hAnsi="Arial" w:cs="Arial"/>
          <w:color w:val="000000"/>
          <w:sz w:val="20"/>
          <w:szCs w:val="20"/>
          <w:lang w:eastAsia="vi-VN"/>
        </w:rPr>
        <w:t>Dân tộc.</w:t>
      </w:r>
    </w:p>
    <w:p w14:paraId="01B1CB94">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16. </w:t>
      </w:r>
      <w:r>
        <w:rPr>
          <w:rStyle w:val="11"/>
          <w:rFonts w:ascii="Arial" w:hAnsi="Arial" w:cs="Arial"/>
          <w:color w:val="000000"/>
          <w:sz w:val="20"/>
          <w:szCs w:val="20"/>
          <w:lang w:eastAsia="vi-VN"/>
        </w:rPr>
        <w:t>Tôn giáo.</w:t>
      </w:r>
    </w:p>
    <w:p w14:paraId="01563DE1">
      <w:pPr>
        <w:pStyle w:val="4"/>
        <w:shd w:val="clear" w:color="auto" w:fill="auto"/>
        <w:tabs>
          <w:tab w:val="left" w:pos="113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17. </w:t>
      </w:r>
      <w:r>
        <w:rPr>
          <w:rStyle w:val="11"/>
          <w:rFonts w:ascii="Arial" w:hAnsi="Arial" w:cs="Arial"/>
          <w:color w:val="000000"/>
          <w:sz w:val="20"/>
          <w:szCs w:val="20"/>
          <w:lang w:eastAsia="vi-VN"/>
        </w:rPr>
        <w:t>Quốc tịch.</w:t>
      </w:r>
    </w:p>
    <w:p w14:paraId="6A276EF3">
      <w:pPr>
        <w:pStyle w:val="4"/>
        <w:shd w:val="clear" w:color="auto" w:fill="auto"/>
        <w:tabs>
          <w:tab w:val="left" w:pos="113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18. </w:t>
      </w:r>
      <w:r>
        <w:rPr>
          <w:rStyle w:val="11"/>
          <w:rFonts w:ascii="Arial" w:hAnsi="Arial" w:cs="Arial"/>
          <w:color w:val="000000"/>
          <w:sz w:val="20"/>
          <w:szCs w:val="20"/>
          <w:lang w:eastAsia="vi-VN"/>
        </w:rPr>
        <w:t>Tình trạng hôn nhân.</w:t>
      </w:r>
    </w:p>
    <w:p w14:paraId="136D6481">
      <w:pPr>
        <w:pStyle w:val="4"/>
        <w:shd w:val="clear" w:color="auto" w:fill="auto"/>
        <w:tabs>
          <w:tab w:val="left" w:pos="10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19. </w:t>
      </w:r>
      <w:r>
        <w:rPr>
          <w:rStyle w:val="11"/>
          <w:rFonts w:ascii="Arial" w:hAnsi="Arial" w:cs="Arial"/>
          <w:color w:val="000000"/>
          <w:sz w:val="20"/>
          <w:szCs w:val="20"/>
          <w:lang w:eastAsia="vi-VN"/>
        </w:rPr>
        <w:t>Nhóm máu, khi công dân yêu cầu cập nhật và xuất trình kết luận về xét nghiệm xác định nhóm máu của người đó.</w:t>
      </w:r>
    </w:p>
    <w:p w14:paraId="2CA93938">
      <w:pPr>
        <w:pStyle w:val="4"/>
        <w:shd w:val="clear" w:color="auto" w:fill="auto"/>
        <w:tabs>
          <w:tab w:val="left" w:pos="108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20. </w:t>
      </w:r>
      <w:r>
        <w:rPr>
          <w:rStyle w:val="11"/>
          <w:rFonts w:ascii="Arial" w:hAnsi="Arial" w:cs="Arial"/>
          <w:color w:val="000000"/>
          <w:sz w:val="20"/>
          <w:szCs w:val="20"/>
          <w:lang w:eastAsia="vi-VN"/>
        </w:rPr>
        <w:t>Họ, chữ đệm và tên, số định danh cá nhân hoặc số Chứng minh nhân dân, quốc tịch của cha, mẹ, vợ, chồng hoặc người đại diện hợp pháp.</w:t>
      </w:r>
    </w:p>
    <w:p w14:paraId="3DFF0D80">
      <w:pPr>
        <w:pStyle w:val="4"/>
        <w:shd w:val="clear" w:color="auto" w:fill="auto"/>
        <w:tabs>
          <w:tab w:val="left" w:pos="116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21. </w:t>
      </w:r>
      <w:r>
        <w:rPr>
          <w:rStyle w:val="11"/>
          <w:rFonts w:ascii="Arial" w:hAnsi="Arial" w:cs="Arial"/>
          <w:color w:val="000000"/>
          <w:sz w:val="20"/>
          <w:szCs w:val="20"/>
          <w:lang w:eastAsia="vi-VN"/>
        </w:rPr>
        <w:t>Ngày, tháng, năm chết hoặc mất tích.</w:t>
      </w:r>
    </w:p>
    <w:p w14:paraId="03E154E5">
      <w:pPr>
        <w:pStyle w:val="4"/>
        <w:shd w:val="clear" w:color="auto" w:fill="auto"/>
        <w:tabs>
          <w:tab w:val="left" w:pos="109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22. </w:t>
      </w:r>
      <w:r>
        <w:rPr>
          <w:rStyle w:val="11"/>
          <w:rFonts w:ascii="Arial" w:hAnsi="Arial" w:cs="Arial"/>
          <w:color w:val="000000"/>
          <w:sz w:val="20"/>
          <w:szCs w:val="20"/>
          <w:lang w:eastAsia="vi-VN"/>
        </w:rPr>
        <w:t>Số Chứng minh nhân dân, ngày, tháng, năm và nơi cấp Chứng minh nhân dân; số, ngày, tháng, năm và nơi cấp thẻ Căn cước công dân.</w:t>
      </w:r>
    </w:p>
    <w:p w14:paraId="65E25D78">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23. </w:t>
      </w:r>
      <w:r>
        <w:rPr>
          <w:rStyle w:val="11"/>
          <w:rFonts w:ascii="Arial" w:hAnsi="Arial" w:cs="Arial"/>
          <w:color w:val="000000"/>
          <w:sz w:val="20"/>
          <w:szCs w:val="20"/>
          <w:lang w:eastAsia="vi-VN"/>
        </w:rPr>
        <w:t>Họ, chữ đệm và tên gọi khác.</w:t>
      </w:r>
    </w:p>
    <w:p w14:paraId="44C456F3">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24. </w:t>
      </w:r>
      <w:r>
        <w:rPr>
          <w:rStyle w:val="11"/>
          <w:rFonts w:ascii="Arial" w:hAnsi="Arial" w:cs="Arial"/>
          <w:color w:val="000000"/>
          <w:sz w:val="20"/>
          <w:szCs w:val="20"/>
          <w:lang w:eastAsia="vi-VN"/>
        </w:rPr>
        <w:t>Nghề nghiệp (trừ lực lượng vũ trang nhân dân).</w:t>
      </w:r>
    </w:p>
    <w:p w14:paraId="12B192A0">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25. </w:t>
      </w:r>
      <w:r>
        <w:rPr>
          <w:rStyle w:val="11"/>
          <w:rFonts w:ascii="Arial" w:hAnsi="Arial" w:cs="Arial"/>
          <w:color w:val="000000"/>
          <w:sz w:val="20"/>
          <w:szCs w:val="20"/>
          <w:lang w:eastAsia="vi-VN"/>
        </w:rPr>
        <w:t>Tiền án.</w:t>
      </w:r>
    </w:p>
    <w:p w14:paraId="5E9818EB">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26. </w:t>
      </w:r>
      <w:r>
        <w:rPr>
          <w:rStyle w:val="11"/>
          <w:rFonts w:ascii="Arial" w:hAnsi="Arial" w:cs="Arial"/>
          <w:color w:val="000000"/>
          <w:sz w:val="20"/>
          <w:szCs w:val="20"/>
          <w:lang w:eastAsia="vi-VN"/>
        </w:rPr>
        <w:t>Tiền sự.</w:t>
      </w:r>
    </w:p>
    <w:p w14:paraId="62FDEDA1">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27. </w:t>
      </w:r>
      <w:r>
        <w:rPr>
          <w:rStyle w:val="11"/>
          <w:rFonts w:ascii="Arial" w:hAnsi="Arial" w:cs="Arial"/>
          <w:color w:val="000000"/>
          <w:sz w:val="20"/>
          <w:szCs w:val="20"/>
          <w:lang w:eastAsia="vi-VN"/>
        </w:rPr>
        <w:t>Biện pháp ngăn chặn bị áp dụng.</w:t>
      </w:r>
    </w:p>
    <w:p w14:paraId="415FA486">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28. </w:t>
      </w:r>
      <w:r>
        <w:rPr>
          <w:rStyle w:val="11"/>
          <w:rFonts w:ascii="Arial" w:hAnsi="Arial" w:cs="Arial"/>
          <w:color w:val="000000"/>
          <w:sz w:val="20"/>
          <w:szCs w:val="20"/>
          <w:lang w:eastAsia="vi-VN"/>
        </w:rPr>
        <w:t>Người giám hộ.</w:t>
      </w:r>
    </w:p>
    <w:p w14:paraId="45B81916">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29. </w:t>
      </w:r>
      <w:r>
        <w:rPr>
          <w:rStyle w:val="11"/>
          <w:rFonts w:ascii="Arial" w:hAnsi="Arial" w:cs="Arial"/>
          <w:color w:val="000000"/>
          <w:sz w:val="20"/>
          <w:szCs w:val="20"/>
          <w:lang w:eastAsia="vi-VN"/>
        </w:rPr>
        <w:t xml:space="preserve">Thông tin liên lạc (số điện thoại, </w:t>
      </w:r>
      <w:r>
        <w:rPr>
          <w:rStyle w:val="11"/>
          <w:rFonts w:ascii="Arial" w:hAnsi="Arial" w:cs="Arial"/>
          <w:color w:val="000000"/>
          <w:sz w:val="20"/>
          <w:szCs w:val="20"/>
          <w:lang w:val="en-US"/>
        </w:rPr>
        <w:t xml:space="preserve">fax, mail, </w:t>
      </w:r>
      <w:r>
        <w:rPr>
          <w:rStyle w:val="11"/>
          <w:rFonts w:ascii="Arial" w:hAnsi="Arial" w:cs="Arial"/>
          <w:color w:val="000000"/>
          <w:sz w:val="20"/>
          <w:szCs w:val="20"/>
          <w:lang w:eastAsia="vi-VN"/>
        </w:rPr>
        <w:t>địa chỉ hòm thư).</w:t>
      </w:r>
    </w:p>
    <w:p w14:paraId="40FCFC52">
      <w:pPr>
        <w:pStyle w:val="4"/>
        <w:shd w:val="clear" w:color="auto" w:fill="auto"/>
        <w:tabs>
          <w:tab w:val="left" w:pos="10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30. </w:t>
      </w:r>
      <w:r>
        <w:rPr>
          <w:rStyle w:val="11"/>
          <w:rFonts w:ascii="Arial" w:hAnsi="Arial" w:cs="Arial"/>
          <w:color w:val="000000"/>
          <w:sz w:val="20"/>
          <w:szCs w:val="20"/>
          <w:lang w:eastAsia="vi-VN"/>
        </w:rPr>
        <w:t>Số, tên cơ quan, người có thẩm quyền ban hành, ngày, tháng, năm ban hành của văn bản cho nhập quốc tịch Việt Nam, cho thôi quốc tịch Việt Nam, tư</w:t>
      </w:r>
      <w:r>
        <w:rPr>
          <w:rStyle w:val="11"/>
          <w:rFonts w:ascii="Arial" w:hAnsi="Arial" w:cs="Arial"/>
          <w:color w:val="000000"/>
          <w:sz w:val="20"/>
          <w:szCs w:val="20"/>
          <w:lang w:val="en-US" w:eastAsia="vi-VN"/>
        </w:rPr>
        <w:t>ớ</w:t>
      </w:r>
      <w:r>
        <w:rPr>
          <w:rStyle w:val="11"/>
          <w:rFonts w:ascii="Arial" w:hAnsi="Arial" w:cs="Arial"/>
          <w:color w:val="000000"/>
          <w:sz w:val="20"/>
          <w:szCs w:val="20"/>
          <w:lang w:eastAsia="vi-VN"/>
        </w:rPr>
        <w:t>c quốc tịch Việt Nam, hủy bỏ quyết định cho nhập quốc tịch Việt Nam.</w:t>
      </w:r>
    </w:p>
    <w:p w14:paraId="47BE4E58">
      <w:pPr>
        <w:pStyle w:val="4"/>
        <w:shd w:val="clear" w:color="auto" w:fill="auto"/>
        <w:tabs>
          <w:tab w:val="left" w:pos="116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31. </w:t>
      </w:r>
      <w:r>
        <w:rPr>
          <w:rStyle w:val="11"/>
          <w:rFonts w:ascii="Arial" w:hAnsi="Arial" w:cs="Arial"/>
          <w:color w:val="000000"/>
          <w:sz w:val="20"/>
          <w:szCs w:val="20"/>
          <w:lang w:eastAsia="vi-VN"/>
        </w:rPr>
        <w:t>Số, ngày, tháng, năm, cơ quan ra quyết định truy nã.</w:t>
      </w:r>
    </w:p>
    <w:p w14:paraId="4E7D39C2">
      <w:pPr>
        <w:pStyle w:val="4"/>
        <w:shd w:val="clear" w:color="auto" w:fill="auto"/>
        <w:tabs>
          <w:tab w:val="left" w:pos="108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32. </w:t>
      </w:r>
      <w:r>
        <w:rPr>
          <w:rStyle w:val="11"/>
          <w:rFonts w:ascii="Arial" w:hAnsi="Arial" w:cs="Arial"/>
          <w:color w:val="000000"/>
          <w:sz w:val="20"/>
          <w:szCs w:val="20"/>
          <w:lang w:eastAsia="vi-VN"/>
        </w:rPr>
        <w:t>Thông tin khác về công dân được tích hợp, chia sẻ từ các cơ sở dữ liệu khác.</w:t>
      </w:r>
    </w:p>
    <w:p w14:paraId="391541FE">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10. Hệ thống Cơ sở dữ liệu về cư trú</w:t>
      </w:r>
    </w:p>
    <w:p w14:paraId="2D532C84">
      <w:pPr>
        <w:pStyle w:val="4"/>
        <w:shd w:val="clear" w:color="auto" w:fill="auto"/>
        <w:tabs>
          <w:tab w:val="left" w:pos="94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Hệ thống Cơ sở dữ liệu về cư trú do Bộ Công an quản lý, được kết nối thống nhất, đồng bộ đến Công an cấp tỉnh, Công an cấp huyện và Công an cấp xã.</w:t>
      </w:r>
    </w:p>
    <w:p w14:paraId="0FDBD9C8">
      <w:pPr>
        <w:pStyle w:val="4"/>
        <w:shd w:val="clear" w:color="auto" w:fill="auto"/>
        <w:tabs>
          <w:tab w:val="left" w:pos="96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Xây dựng Cơ sở dữ liệu về cư trú bao gồm các hoạt động:</w:t>
      </w:r>
    </w:p>
    <w:p w14:paraId="61C5F1DF">
      <w:pPr>
        <w:pStyle w:val="4"/>
        <w:shd w:val="clear" w:color="auto" w:fill="auto"/>
        <w:tabs>
          <w:tab w:val="left" w:pos="97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Bố trí mặt bằng, xây dựng các công trình, lắp đặt máy móc, thiết bị;</w:t>
      </w:r>
    </w:p>
    <w:p w14:paraId="1EF24F1E">
      <w:pPr>
        <w:pStyle w:val="4"/>
        <w:shd w:val="clear" w:color="auto" w:fill="auto"/>
        <w:tabs>
          <w:tab w:val="left" w:pos="9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Trang bị các trang thiết bị cần thiết;</w:t>
      </w:r>
    </w:p>
    <w:p w14:paraId="22B0BE65">
      <w:pPr>
        <w:pStyle w:val="4"/>
        <w:shd w:val="clear" w:color="auto" w:fill="auto"/>
        <w:tabs>
          <w:tab w:val="left" w:pos="99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Nâng cấp hạ tầng mạng;</w:t>
      </w:r>
    </w:p>
    <w:p w14:paraId="53E28D0E">
      <w:pPr>
        <w:pStyle w:val="4"/>
        <w:shd w:val="clear" w:color="auto" w:fill="auto"/>
        <w:tabs>
          <w:tab w:val="left" w:pos="101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Tổ chức cơ sở dữ liệu; xây dựng phần mềm quản lý, đăng ký cư trú;</w:t>
      </w:r>
    </w:p>
    <w:p w14:paraId="29264E82">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đ) Thu thập, chuẩn hóa, nhập dữ liệu;</w:t>
      </w:r>
    </w:p>
    <w:p w14:paraId="713C9664">
      <w:pPr>
        <w:pStyle w:val="4"/>
        <w:shd w:val="clear" w:color="auto" w:fill="auto"/>
        <w:tabs>
          <w:tab w:val="left" w:pos="98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e) </w:t>
      </w:r>
      <w:r>
        <w:rPr>
          <w:rStyle w:val="11"/>
          <w:rFonts w:ascii="Arial" w:hAnsi="Arial" w:cs="Arial"/>
          <w:color w:val="000000"/>
          <w:sz w:val="20"/>
          <w:szCs w:val="20"/>
          <w:lang w:eastAsia="vi-VN"/>
        </w:rPr>
        <w:t>Lưu trữ, sao lưu dự phòng, đồng bộ hệ thống, phục hồi dữ liệu; bảo mật, bảo đảm an ninh, an toàn thông tin trong Cơ sở dữ liệu;</w:t>
      </w:r>
    </w:p>
    <w:p w14:paraId="6790440C">
      <w:pPr>
        <w:pStyle w:val="4"/>
        <w:shd w:val="clear" w:color="auto" w:fill="auto"/>
        <w:tabs>
          <w:tab w:val="left" w:pos="101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g) </w:t>
      </w:r>
      <w:r>
        <w:rPr>
          <w:rStyle w:val="11"/>
          <w:rFonts w:ascii="Arial" w:hAnsi="Arial" w:cs="Arial"/>
          <w:color w:val="000000"/>
          <w:sz w:val="20"/>
          <w:szCs w:val="20"/>
          <w:lang w:eastAsia="vi-VN"/>
        </w:rPr>
        <w:t>Đào tạo, huấn luyện, bồi dưỡng cán bộ quản lý, vận hành cơ sở dữ liệu;</w:t>
      </w:r>
    </w:p>
    <w:p w14:paraId="72DB941E">
      <w:pPr>
        <w:pStyle w:val="4"/>
        <w:shd w:val="clear" w:color="auto" w:fill="auto"/>
        <w:tabs>
          <w:tab w:val="left" w:pos="101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h) </w:t>
      </w:r>
      <w:r>
        <w:rPr>
          <w:rStyle w:val="11"/>
          <w:rFonts w:ascii="Arial" w:hAnsi="Arial" w:cs="Arial"/>
          <w:color w:val="000000"/>
          <w:sz w:val="20"/>
          <w:szCs w:val="20"/>
          <w:lang w:eastAsia="vi-VN"/>
        </w:rPr>
        <w:t>Vận hành, hiệu chỉnh, bảo trì, bảo dưỡng Cơ sở dữ liệu;</w:t>
      </w:r>
    </w:p>
    <w:p w14:paraId="3CB46E28">
      <w:pPr>
        <w:pStyle w:val="4"/>
        <w:shd w:val="clear" w:color="auto" w:fill="auto"/>
        <w:tabs>
          <w:tab w:val="left" w:pos="101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i) </w:t>
      </w:r>
      <w:r>
        <w:rPr>
          <w:rStyle w:val="11"/>
          <w:rFonts w:ascii="Arial" w:hAnsi="Arial" w:cs="Arial"/>
          <w:color w:val="000000"/>
          <w:sz w:val="20"/>
          <w:szCs w:val="20"/>
          <w:lang w:eastAsia="vi-VN"/>
        </w:rPr>
        <w:t>Các hoạt động khác theo quy định của pháp luật.</w:t>
      </w:r>
    </w:p>
    <w:p w14:paraId="4308227D">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11. Nguồn thông tin, yêu cầu, thứ tự thu thập, cập nhật thông tin về công dân vào Cơ sở dữ liệu về cư trú</w:t>
      </w:r>
    </w:p>
    <w:p w14:paraId="63736C5A">
      <w:pPr>
        <w:pStyle w:val="4"/>
        <w:shd w:val="clear" w:color="auto" w:fill="auto"/>
        <w:tabs>
          <w:tab w:val="left" w:pos="95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Thông tin về công dân được thu thập, cập nhật vào Cơ sở dữ liệu về cư trú từ các nguồn sau:</w:t>
      </w:r>
    </w:p>
    <w:p w14:paraId="215FD061">
      <w:pPr>
        <w:pStyle w:val="4"/>
        <w:shd w:val="clear" w:color="auto" w:fill="auto"/>
        <w:tabs>
          <w:tab w:val="left" w:pos="96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Cơ sở dữ liệu quốc gia về dân cư, Cơ sở dữ liệu căn cước công dân, Cơ sở dữ liệu hộ tịch điện tử, cơ sở dữ liệu quốc gia và cơ sở dữ liệu chuyên ngành khác được chia sẻ với Cơ sở dữ liệu về cư trú;</w:t>
      </w:r>
    </w:p>
    <w:p w14:paraId="5C79BE9D">
      <w:pPr>
        <w:pStyle w:val="4"/>
        <w:shd w:val="clear" w:color="auto" w:fill="auto"/>
        <w:tabs>
          <w:tab w:val="left" w:pos="98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Giấy tờ, tài liệu, sổ sách về đăng ký, quản lý cư trú; tàng thư hồ sơ hộ khẩu, hồ sơ đăng ký, quản lý cư trú; tàng thư căn cước công dân; giấy tờ hộ tịch.</w:t>
      </w:r>
    </w:p>
    <w:p w14:paraId="4D2C8CCB">
      <w:pPr>
        <w:pStyle w:val="4"/>
        <w:shd w:val="clear" w:color="auto" w:fill="auto"/>
        <w:tabs>
          <w:tab w:val="left" w:pos="95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Việc thu thập, cập nhật thông tin về công dân vào Cơ sở dữ liệu về cư trú phải bảo đảm các yêu cầu sau:</w:t>
      </w:r>
    </w:p>
    <w:p w14:paraId="56ACADB9">
      <w:pPr>
        <w:pStyle w:val="4"/>
        <w:shd w:val="clear" w:color="auto" w:fill="auto"/>
        <w:tabs>
          <w:tab w:val="left" w:pos="967"/>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Các thông tin về công dân chỉ được thu thập, cập nhật vào Cơ sở dữ liệu về cư trú khi được kiểm tra thông tin đó là chính xác;</w:t>
      </w:r>
    </w:p>
    <w:p w14:paraId="522A3113">
      <w:pPr>
        <w:pStyle w:val="4"/>
        <w:shd w:val="clear" w:color="auto" w:fill="auto"/>
        <w:tabs>
          <w:tab w:val="left" w:pos="95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Trường hợp thông tin về công dân được thu thập, cập nhật từ nhiều nguồn khác nhau mà không thống nhất về nội dung thông tin thì khi thu thập, cập nhật thông tin về công dân, công an cấp xã, Công an cấp huyện nơi không có đơn vị hành chính cấp xã có trách nhiệm phối hợp với cơ quan đăng ký hộ tịch, cơ quan có liên quan hoặc công dân để kiểm tra tính pháp lý của các thông tin đó và chịu trách nhiệm về nội dung thông tin trước khi thu thập, cập nhật vào Cơ sở dữ liệu về cư trú;</w:t>
      </w:r>
    </w:p>
    <w:p w14:paraId="5EBA1182">
      <w:pPr>
        <w:pStyle w:val="4"/>
        <w:shd w:val="clear" w:color="auto" w:fill="auto"/>
        <w:tabs>
          <w:tab w:val="left" w:pos="949"/>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Các thông tin về công dân đã được thu thập, cập nhật vào Cơ sở dữ liệu về cư trú phải được lưu trữ đầy đủ, thể hiện được quá trình lịch sử các lần cập nhật, thay đổi, điều chỉnh.</w:t>
      </w:r>
    </w:p>
    <w:p w14:paraId="30119E0F">
      <w:pPr>
        <w:pStyle w:val="4"/>
        <w:shd w:val="clear" w:color="auto" w:fill="auto"/>
        <w:tabs>
          <w:tab w:val="left" w:pos="91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Thông tin về công dân được thu thập, cập nhật vào Cơ sở dữ liệu về cư trú theo thứ tự như sau:</w:t>
      </w:r>
    </w:p>
    <w:p w14:paraId="58A69F03">
      <w:pPr>
        <w:pStyle w:val="4"/>
        <w:shd w:val="clear" w:color="auto" w:fill="auto"/>
        <w:tabs>
          <w:tab w:val="left" w:pos="93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Thông tin về công dân được thu thập, cập nhật từ Cơ sở dữ liệu quốc gia về dân cư, Cơ sở dữ liệu Căn cước công dân, Giấy tờ, tài liệu, sổ sách về đăng ký, quản lý cư trú; tàng thư hồ sơ hộ khẩu, hồ sơ đăng ký, quản lý cư trú; tàng thư căn cước công dân;</w:t>
      </w:r>
    </w:p>
    <w:p w14:paraId="04B04F30">
      <w:pPr>
        <w:pStyle w:val="4"/>
        <w:shd w:val="clear" w:color="auto" w:fill="auto"/>
        <w:tabs>
          <w:tab w:val="left" w:pos="94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Trường hợp các nguồn thu thập tại điểm a khoản này chưa có hoặc chưa đầy đủ thì thu thập, cập nhật từ Cơ sở dữ liệu hộ tịch, giấy tờ hộ tịch, cơ sở dữ liệu quốc gia và cơ sở dữ liệu chuyên ngành khác được chia sẻ với Cơ sở dữ liệu về cư trú.</w:t>
      </w:r>
    </w:p>
    <w:p w14:paraId="66A45308">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12. Cập nhật, chỉnh sửa thông tin về công dân trong Cơ sở dữ liệu về cư trú</w:t>
      </w:r>
    </w:p>
    <w:p w14:paraId="3CF991F2">
      <w:pPr>
        <w:pStyle w:val="4"/>
        <w:shd w:val="clear" w:color="auto" w:fill="auto"/>
        <w:tabs>
          <w:tab w:val="left" w:pos="91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Công an cấp xã, Công an cấp huyện nơi không có đơn vị hành chính cấp xã có trách nhiệm tổ chức cập nhật thông tin về cư trú của công dân đăng ký thường trú, tạm trú trên địa bàn quản lý vào Cơ sở dữ liệu về cư trú, Cơ sở dữ liệu quốc gia về dân cư.</w:t>
      </w:r>
    </w:p>
    <w:p w14:paraId="03515582">
      <w:pPr>
        <w:pStyle w:val="4"/>
        <w:shd w:val="clear" w:color="auto" w:fill="auto"/>
        <w:tabs>
          <w:tab w:val="left" w:pos="90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Chỉnh sửa thông tin về công dân trong Cơ sở dữ liệu về cư trú là việc điều chỉnh thông tin của công dân khi có sự thay đổi hoặc có sự sai sót trong quá trình thu thập, cập nhật, quản lý thông tin về công dân trong cơ sở dữ liệu.</w:t>
      </w:r>
    </w:p>
    <w:p w14:paraId="54FD0DCA">
      <w:pPr>
        <w:pStyle w:val="4"/>
        <w:shd w:val="clear" w:color="auto" w:fill="auto"/>
        <w:tabs>
          <w:tab w:val="left" w:pos="94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Nguyên tắc chỉnh sửa thông tin về công dân:</w:t>
      </w:r>
    </w:p>
    <w:p w14:paraId="406BB07A">
      <w:pPr>
        <w:pStyle w:val="4"/>
        <w:shd w:val="clear" w:color="auto" w:fill="auto"/>
        <w:tabs>
          <w:tab w:val="left" w:pos="931"/>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Chỉ chỉnh sửa thông tin về công dân khi phát hiện có sự thay đổi hoặc có sai sót trong quá trình thu thập, cập nhật, quản lý thông tin về công dân trong Cơ sở dữ liệu về cư trú;</w:t>
      </w:r>
    </w:p>
    <w:p w14:paraId="33E18FEB">
      <w:pPr>
        <w:pStyle w:val="4"/>
        <w:shd w:val="clear" w:color="auto" w:fill="auto"/>
        <w:tabs>
          <w:tab w:val="left" w:pos="94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Phải có văn bản của cấp có thẩm quyền về việc thay đổi thông tin về công dân có liên quan đến thông tin trong Cơ sở dữ liệu về cư trú;</w:t>
      </w:r>
    </w:p>
    <w:p w14:paraId="532E4CDA">
      <w:pPr>
        <w:pStyle w:val="4"/>
        <w:shd w:val="clear" w:color="auto" w:fill="auto"/>
        <w:tabs>
          <w:tab w:val="left" w:pos="93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Chỉ người có thẩm quyền quy định tại khoản 4 Điều này mới được cho phép chỉnh sửa thông tin về công dân.</w:t>
      </w:r>
    </w:p>
    <w:p w14:paraId="46510CCC">
      <w:pPr>
        <w:pStyle w:val="4"/>
        <w:shd w:val="clear" w:color="auto" w:fill="auto"/>
        <w:tabs>
          <w:tab w:val="left" w:pos="96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Trưởng Công an cấp xã hoặc Trưởng Công an cấp huyện nơi không có đơn vị hành chính cấp xã có trách nhiệm kiểm tra tính pháp lý, tính chính xác của các thông tin trước khi chỉnh sửa thông tin trong Cơ sở dữ liệu về cư trú quyết định việc chỉnh sửa thông tin về công dân trong cơ sở dữ liệu và chịu trách nhiệm về việc chỉnh sửa đó.</w:t>
      </w:r>
    </w:p>
    <w:p w14:paraId="62BF4818">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13. Kết nối, chia sẻ, cung cấp, trao đổi thông tin, tài liệu trong Cơ sở dữ liệu về cư trú</w:t>
      </w:r>
    </w:p>
    <w:p w14:paraId="62788A32">
      <w:pPr>
        <w:pStyle w:val="4"/>
        <w:shd w:val="clear" w:color="auto" w:fill="auto"/>
        <w:tabs>
          <w:tab w:val="left" w:pos="96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Cơ sở dữ liệu về cư trú được kết nối, chia sẻ với Cơ sở dữ liệu quốc gia về dân cư, Cơ sở dữ liệu Căn cước công dân. Căn cứ theo số định danh cá nhân của công dân, các thông tin của công dân trong Cơ sở dữ liệu về cư trú được chia sẻ cho Cơ sở dữ liệu quốc gia về dân cư gồm:</w:t>
      </w:r>
    </w:p>
    <w:p w14:paraId="48CAC27C">
      <w:pPr>
        <w:pStyle w:val="4"/>
        <w:shd w:val="clear" w:color="auto" w:fill="auto"/>
        <w:tabs>
          <w:tab w:val="left" w:pos="100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Nơi thường trú;</w:t>
      </w:r>
    </w:p>
    <w:p w14:paraId="0D6A418A">
      <w:pPr>
        <w:pStyle w:val="4"/>
        <w:shd w:val="clear" w:color="auto" w:fill="auto"/>
        <w:tabs>
          <w:tab w:val="left" w:pos="102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Nơi tạm trú;</w:t>
      </w:r>
    </w:p>
    <w:p w14:paraId="295ED568">
      <w:pPr>
        <w:pStyle w:val="4"/>
        <w:shd w:val="clear" w:color="auto" w:fill="auto"/>
        <w:tabs>
          <w:tab w:val="left" w:pos="102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Tình trạng khai báo tạm vắng;</w:t>
      </w:r>
    </w:p>
    <w:p w14:paraId="274C4AB2">
      <w:pPr>
        <w:pStyle w:val="4"/>
        <w:shd w:val="clear" w:color="auto" w:fill="auto"/>
        <w:tabs>
          <w:tab w:val="left" w:pos="102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Nơi ở hiện tại;</w:t>
      </w:r>
    </w:p>
    <w:p w14:paraId="21D0FC26">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đ) Họ, chữ đệm và tên, số định danh cá nhân hoặc số Chứng minh nhân dân của chủ hộ và các thành viên hộ gia đình;</w:t>
      </w:r>
    </w:p>
    <w:p w14:paraId="685665D3">
      <w:pPr>
        <w:pStyle w:val="4"/>
        <w:shd w:val="clear" w:color="auto" w:fill="auto"/>
        <w:tabs>
          <w:tab w:val="left" w:pos="1020"/>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e) </w:t>
      </w:r>
      <w:r>
        <w:rPr>
          <w:rStyle w:val="11"/>
          <w:rFonts w:ascii="Arial" w:hAnsi="Arial" w:cs="Arial"/>
          <w:color w:val="000000"/>
          <w:sz w:val="20"/>
          <w:szCs w:val="20"/>
          <w:lang w:eastAsia="vi-VN"/>
        </w:rPr>
        <w:t>Quan hệ với chủ hộ.</w:t>
      </w:r>
    </w:p>
    <w:p w14:paraId="68DCBE9D">
      <w:pPr>
        <w:pStyle w:val="4"/>
        <w:shd w:val="clear" w:color="auto" w:fill="auto"/>
        <w:tabs>
          <w:tab w:val="left" w:pos="95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Cơ sở dữ liệu về cư trú được kết nối, chia sẻ với cơ sở dữ liệu khác do Bộ trưởng Bộ Công an quyết định trên cơ sở đề nghị của cơ quan quản lý cơ sở dữ liệu đó.</w:t>
      </w:r>
    </w:p>
    <w:p w14:paraId="3BF8AF2F">
      <w:pPr>
        <w:pStyle w:val="4"/>
        <w:shd w:val="clear" w:color="auto" w:fill="auto"/>
        <w:spacing w:after="120" w:line="240" w:lineRule="auto"/>
        <w:ind w:firstLine="720"/>
        <w:jc w:val="both"/>
        <w:rPr>
          <w:rFonts w:ascii="Arial" w:hAnsi="Arial" w:cs="Arial"/>
          <w:sz w:val="20"/>
          <w:szCs w:val="20"/>
        </w:rPr>
      </w:pPr>
      <w:r>
        <w:rPr>
          <w:rStyle w:val="11"/>
          <w:rFonts w:ascii="Arial" w:hAnsi="Arial" w:cs="Arial"/>
          <w:color w:val="000000"/>
          <w:sz w:val="20"/>
          <w:szCs w:val="20"/>
          <w:lang w:eastAsia="vi-VN"/>
        </w:rPr>
        <w:t>Cơ quan đề nghị kết nối, chia sẻ cơ sở dữ liệu về cư trú có văn bản đề nghị gửi Bộ Công an, trong đó nêu rõ chức năng, nhiệm vụ, quyền hạn được giao và phạm vi, mục đích, thông tin cần chia sẻ.</w:t>
      </w:r>
    </w:p>
    <w:p w14:paraId="2033E091">
      <w:pPr>
        <w:pStyle w:val="4"/>
        <w:shd w:val="clear" w:color="auto" w:fill="auto"/>
        <w:tabs>
          <w:tab w:val="left" w:pos="956"/>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Các trường hợp được cung cấp, trao đổi thông tin, tài liệu trong Cơ sở dữ liệu về cư trú:</w:t>
      </w:r>
    </w:p>
    <w:p w14:paraId="07B2CDA1">
      <w:pPr>
        <w:pStyle w:val="4"/>
        <w:shd w:val="clear" w:color="auto" w:fill="auto"/>
        <w:tabs>
          <w:tab w:val="left" w:pos="97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Cơ quan tiến hành tố tụng được cung cấp, trao đổi thông tin, tài liệu trong Cơ sở dữ liệu về cư trú phục vụ hoạt động điều tra, truy tố, xét xử;</w:t>
      </w:r>
    </w:p>
    <w:p w14:paraId="00F8AC89">
      <w:pPr>
        <w:pStyle w:val="4"/>
        <w:shd w:val="clear" w:color="auto" w:fill="auto"/>
        <w:tabs>
          <w:tab w:val="left" w:pos="98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Cơ quan quản lý cơ sở dữ liệu chuyên ngành, cơ quan nhà nước, tổ chức chính trị, tổ chức chính trị - xã hội được cung cấp, trao đổi thông tin, tài liệu trong Cơ sở dữ liệu cư trú để phục vụ công tác theo chức năng, nhiệm vụ, quyền hạn được giao;</w:t>
      </w:r>
    </w:p>
    <w:p w14:paraId="6790650F">
      <w:pPr>
        <w:pStyle w:val="4"/>
        <w:shd w:val="clear" w:color="auto" w:fill="auto"/>
        <w:tabs>
          <w:tab w:val="left" w:pos="98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c) </w:t>
      </w:r>
      <w:r>
        <w:rPr>
          <w:rStyle w:val="11"/>
          <w:rFonts w:ascii="Arial" w:hAnsi="Arial" w:cs="Arial"/>
          <w:color w:val="000000"/>
          <w:sz w:val="20"/>
          <w:szCs w:val="20"/>
          <w:lang w:eastAsia="vi-VN"/>
        </w:rPr>
        <w:t>Công dân được cung cấp, trao đổi thông tin của mình trong Cơ sở dữ liệu về cư trú;</w:t>
      </w:r>
    </w:p>
    <w:p w14:paraId="0DDD7181">
      <w:pPr>
        <w:pStyle w:val="4"/>
        <w:shd w:val="clear" w:color="auto" w:fill="auto"/>
        <w:tabs>
          <w:tab w:val="left" w:pos="934"/>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d) </w:t>
      </w:r>
      <w:r>
        <w:rPr>
          <w:rStyle w:val="11"/>
          <w:rFonts w:ascii="Arial" w:hAnsi="Arial" w:cs="Arial"/>
          <w:color w:val="000000"/>
          <w:sz w:val="20"/>
          <w:szCs w:val="20"/>
          <w:lang w:eastAsia="vi-VN"/>
        </w:rPr>
        <w:t>Cơ quan, tổ chức và công dân không thuộc quy định tại các điểm a, b, c khoản này có nhu cầu cung cấp, trao đổi thông tin, tài liệu trong Cơ sở dữ liệu về cư trú của công dân khác phải được công dân đó đồng ý bằng văn bản có công chứng hoặc chứng thực và được Trưởng Công an cấp xã hoặc Trưởng Công an cấp huyện nơi không có đơn vị hành chính cấp xã tại nơi công dân đó đăng ký thường trú hoặc tạm trú đồng ý cho phép cung cấp, trao đổi thông tin.</w:t>
      </w:r>
    </w:p>
    <w:p w14:paraId="68578DB5">
      <w:pPr>
        <w:pStyle w:val="4"/>
        <w:shd w:val="clear" w:color="auto" w:fill="auto"/>
        <w:tabs>
          <w:tab w:val="left" w:pos="92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4. </w:t>
      </w:r>
      <w:r>
        <w:rPr>
          <w:rStyle w:val="11"/>
          <w:rFonts w:ascii="Arial" w:hAnsi="Arial" w:cs="Arial"/>
          <w:color w:val="000000"/>
          <w:sz w:val="20"/>
          <w:szCs w:val="20"/>
          <w:lang w:eastAsia="vi-VN"/>
        </w:rPr>
        <w:t>Thủ tục cung cấp, trao đổi thông tin, tài liệu trong Cơ sở dữ liệu về cư trú:</w:t>
      </w:r>
    </w:p>
    <w:p w14:paraId="4CF58C3E">
      <w:pPr>
        <w:pStyle w:val="4"/>
        <w:shd w:val="clear" w:color="auto" w:fill="auto"/>
        <w:tabs>
          <w:tab w:val="left" w:pos="923"/>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a) </w:t>
      </w:r>
      <w:r>
        <w:rPr>
          <w:rStyle w:val="11"/>
          <w:rFonts w:ascii="Arial" w:hAnsi="Arial" w:cs="Arial"/>
          <w:color w:val="000000"/>
          <w:sz w:val="20"/>
          <w:szCs w:val="20"/>
          <w:lang w:eastAsia="vi-VN"/>
        </w:rPr>
        <w:t>Cơ quan, tổ chức, cá nhân thuộc trường hợp quy định tại khoản 3 Điều này có nhu cầu cung cấp, trao đổi thông tin, tài liệu trong Cơ sở dữ liệu về cư trú phải có văn bản đề nghị nêu rõ mục đích, nội dung thông tin cần cung cấp. Trường hợp quy định tại điểm d khoản 3 Điều này phải có thêm văn bản đồng ý có công chứng hoặc chứng thực của công dân được đề nghị cung cấp thông tin;</w:t>
      </w:r>
    </w:p>
    <w:p w14:paraId="75042646">
      <w:pPr>
        <w:pStyle w:val="4"/>
        <w:shd w:val="clear" w:color="auto" w:fill="auto"/>
        <w:tabs>
          <w:tab w:val="left" w:pos="938"/>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b) </w:t>
      </w:r>
      <w:r>
        <w:rPr>
          <w:rStyle w:val="11"/>
          <w:rFonts w:ascii="Arial" w:hAnsi="Arial" w:cs="Arial"/>
          <w:color w:val="000000"/>
          <w:sz w:val="20"/>
          <w:szCs w:val="20"/>
          <w:lang w:eastAsia="vi-VN"/>
        </w:rPr>
        <w:t>Trong thời hạn 02 ngày làm việc, kể từ ngày nhận được văn bản yêu cầu cung cấp thông tin, Trưởng Công an cấp xã hoặc Trưởng Công an cấp huyện nơi không có đơn vị hành chính cấp xã tại nơi công dân được đề nghị cung cấp thông tin đăng ký thường trú hoặc tạm trú xem xét, quyết định cho phép cung cấp, trao đổi thông tin, tài liệu trong Cơ sở dữ liệu về cư trú. Trường hợp từ chối cung cấp thông tin thì phải trả lời bằng văn bản cho cơ quan, tổ chức, cá nhân biết và nêu rõ lý do.</w:t>
      </w:r>
    </w:p>
    <w:p w14:paraId="74E99E24">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14. Sử dụng, sao lưu, phục hồi dữ liệu về cư trú</w:t>
      </w:r>
    </w:p>
    <w:p w14:paraId="5AA655C6">
      <w:pPr>
        <w:pStyle w:val="4"/>
        <w:shd w:val="clear" w:color="auto" w:fill="auto"/>
        <w:tabs>
          <w:tab w:val="left" w:pos="902"/>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1. </w:t>
      </w:r>
      <w:r>
        <w:rPr>
          <w:rStyle w:val="11"/>
          <w:rFonts w:ascii="Arial" w:hAnsi="Arial" w:cs="Arial"/>
          <w:color w:val="000000"/>
          <w:sz w:val="20"/>
          <w:szCs w:val="20"/>
          <w:lang w:eastAsia="vi-VN"/>
        </w:rPr>
        <w:t>Việc sử dụng thông tin về công dân trong Cơ sở dữ liệu về cư trú phải bảo đảm bí mật nhà nước, bí mật cá nhân, bí mật gia đình và đời sống riêng tư của công dân. Cơ quan, tổ chức, cá nhân sử dụng thông tin về cư trú của công dân để thực hiện chức năng, nhiệm vụ, quyền hạn được giao hoặc giải quyết thủ tục hành chính.</w:t>
      </w:r>
    </w:p>
    <w:p w14:paraId="20DE66A0">
      <w:pPr>
        <w:pStyle w:val="4"/>
        <w:shd w:val="clear" w:color="auto" w:fill="auto"/>
        <w:tabs>
          <w:tab w:val="left" w:pos="905"/>
        </w:tabs>
        <w:spacing w:after="12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2. </w:t>
      </w:r>
      <w:r>
        <w:rPr>
          <w:rStyle w:val="11"/>
          <w:rFonts w:ascii="Arial" w:hAnsi="Arial" w:cs="Arial"/>
          <w:color w:val="000000"/>
          <w:sz w:val="20"/>
          <w:szCs w:val="20"/>
          <w:lang w:eastAsia="vi-VN"/>
        </w:rPr>
        <w:t>Sao lưu dữ liệu về cư trú là nhiệm vụ thường xuyên của cơ quan quản lý cơ sở dữ liệu về cư trú để bảo đảm tính nguyên vẹn của dữ liệu cư trú trên hệ thống.</w:t>
      </w:r>
    </w:p>
    <w:p w14:paraId="35D4681D">
      <w:pPr>
        <w:pStyle w:val="4"/>
        <w:shd w:val="clear" w:color="auto" w:fill="auto"/>
        <w:tabs>
          <w:tab w:val="left" w:pos="905"/>
        </w:tabs>
        <w:spacing w:after="0" w:line="240" w:lineRule="auto"/>
        <w:ind w:firstLine="720"/>
        <w:jc w:val="both"/>
        <w:rPr>
          <w:rFonts w:ascii="Arial" w:hAnsi="Arial" w:cs="Arial"/>
          <w:sz w:val="20"/>
          <w:szCs w:val="20"/>
        </w:rPr>
      </w:pPr>
      <w:r>
        <w:rPr>
          <w:rStyle w:val="11"/>
          <w:rFonts w:ascii="Arial" w:hAnsi="Arial" w:cs="Arial"/>
          <w:color w:val="000000"/>
          <w:sz w:val="20"/>
          <w:szCs w:val="20"/>
          <w:lang w:val="en-US" w:eastAsia="vi-VN"/>
        </w:rPr>
        <w:t xml:space="preserve">3. </w:t>
      </w:r>
      <w:r>
        <w:rPr>
          <w:rStyle w:val="11"/>
          <w:rFonts w:ascii="Arial" w:hAnsi="Arial" w:cs="Arial"/>
          <w:color w:val="000000"/>
          <w:sz w:val="20"/>
          <w:szCs w:val="20"/>
          <w:lang w:eastAsia="vi-VN"/>
        </w:rPr>
        <w:t>Phục hồi dữ liệu cư trú là quá trình khôi phục lại dữ liệu về thời điểm dữ liệu trước khi bị lỗi, hư hỏng hoặc điều chỉnh không đúng quy định. Dữ liệu cư trú được phục hồi khi dữ liệu bị phá hủy, tấn công mạng, truy nhập trái phép.</w:t>
      </w:r>
    </w:p>
    <w:p w14:paraId="692675C4">
      <w:pPr>
        <w:pStyle w:val="4"/>
        <w:shd w:val="clear" w:color="auto" w:fill="auto"/>
        <w:spacing w:after="0" w:line="240" w:lineRule="auto"/>
        <w:ind w:firstLine="0"/>
        <w:jc w:val="center"/>
        <w:rPr>
          <w:rStyle w:val="11"/>
          <w:rFonts w:ascii="Arial" w:hAnsi="Arial" w:cs="Arial"/>
          <w:b/>
          <w:bCs/>
          <w:color w:val="000000"/>
          <w:sz w:val="20"/>
          <w:szCs w:val="20"/>
          <w:lang w:eastAsia="vi-VN"/>
        </w:rPr>
      </w:pPr>
    </w:p>
    <w:p w14:paraId="4BE3C1DB">
      <w:pPr>
        <w:pStyle w:val="4"/>
        <w:shd w:val="clear" w:color="auto" w:fill="auto"/>
        <w:spacing w:after="0" w:line="240" w:lineRule="auto"/>
        <w:ind w:firstLine="0"/>
        <w:jc w:val="center"/>
        <w:rPr>
          <w:rFonts w:ascii="Arial" w:hAnsi="Arial" w:cs="Arial"/>
          <w:sz w:val="20"/>
          <w:szCs w:val="20"/>
        </w:rPr>
      </w:pPr>
    </w:p>
    <w:p w14:paraId="6347FA91">
      <w:pPr>
        <w:pStyle w:val="4"/>
        <w:shd w:val="clear" w:color="auto" w:fill="auto"/>
        <w:spacing w:after="120" w:line="240" w:lineRule="auto"/>
        <w:ind w:firstLine="720"/>
        <w:jc w:val="both"/>
        <w:rPr>
          <w:rFonts w:ascii="Arial" w:hAnsi="Arial" w:cs="Arial"/>
          <w:sz w:val="20"/>
          <w:szCs w:val="20"/>
        </w:rPr>
      </w:pPr>
      <w:r>
        <w:rPr>
          <w:rStyle w:val="11"/>
          <w:rFonts w:ascii="Arial" w:hAnsi="Arial" w:cs="Arial"/>
          <w:b/>
          <w:bCs/>
          <w:color w:val="000000"/>
          <w:sz w:val="20"/>
          <w:szCs w:val="20"/>
          <w:lang w:eastAsia="vi-VN"/>
        </w:rPr>
        <w:t>Điều 15. Hiệu lực thi hành</w:t>
      </w:r>
    </w:p>
    <w:p w14:paraId="5F9E27BF">
      <w:pPr>
        <w:pStyle w:val="4"/>
        <w:shd w:val="clear" w:color="auto" w:fill="auto"/>
        <w:spacing w:after="120" w:line="240" w:lineRule="auto"/>
        <w:ind w:firstLine="720"/>
        <w:jc w:val="both"/>
        <w:rPr>
          <w:rStyle w:val="11"/>
          <w:rFonts w:ascii="Arial" w:hAnsi="Arial" w:cs="Arial"/>
          <w:color w:val="000000"/>
          <w:sz w:val="20"/>
          <w:szCs w:val="20"/>
          <w:lang w:eastAsia="vi-VN"/>
        </w:rPr>
      </w:pPr>
      <w:r>
        <w:rPr>
          <w:rStyle w:val="11"/>
          <w:rFonts w:ascii="Arial" w:hAnsi="Arial" w:cs="Arial"/>
          <w:color w:val="000000"/>
          <w:sz w:val="20"/>
          <w:szCs w:val="20"/>
          <w:lang w:eastAsia="vi-VN"/>
        </w:rPr>
        <w:t>Nghị định này có hiệu lực từ ngày 01 tháng 7 năm 2021 và thay thế Nghị định số 31/2014/NĐ-CP ngày 18 tháng 4 năm 2014 quy định chi tiết một số điều và biện pháp thi hành Luật Cư trú.</w:t>
      </w:r>
    </w:p>
    <w:p w14:paraId="35007694">
      <w:pPr>
        <w:pStyle w:val="17"/>
        <w:keepNext/>
        <w:keepLines/>
        <w:shd w:val="clear" w:color="auto" w:fill="auto"/>
        <w:spacing w:after="120"/>
        <w:ind w:firstLine="720"/>
        <w:jc w:val="both"/>
        <w:rPr>
          <w:rFonts w:ascii="Arial" w:hAnsi="Arial" w:cs="Arial"/>
          <w:sz w:val="20"/>
          <w:szCs w:val="20"/>
        </w:rPr>
      </w:pPr>
      <w:bookmarkStart w:id="10" w:name="bookmark12"/>
      <w:bookmarkStart w:id="11" w:name="bookmark13"/>
      <w:r>
        <w:rPr>
          <w:rStyle w:val="16"/>
          <w:rFonts w:ascii="Arial" w:hAnsi="Arial" w:cs="Arial"/>
          <w:b/>
          <w:bCs/>
          <w:color w:val="000000"/>
          <w:sz w:val="20"/>
          <w:szCs w:val="20"/>
          <w:lang w:eastAsia="vi-VN"/>
        </w:rPr>
        <w:t>Điều 16. Trách nhiệm thi hành</w:t>
      </w:r>
      <w:bookmarkEnd w:id="10"/>
      <w:bookmarkEnd w:id="11"/>
    </w:p>
    <w:p w14:paraId="5B6D032F">
      <w:pPr>
        <w:pStyle w:val="4"/>
        <w:shd w:val="clear" w:color="auto" w:fill="auto"/>
        <w:spacing w:after="0" w:line="240" w:lineRule="auto"/>
        <w:ind w:firstLine="720"/>
        <w:jc w:val="both"/>
        <w:rPr>
          <w:rStyle w:val="11"/>
          <w:rFonts w:ascii="Arial" w:hAnsi="Arial" w:cs="Arial"/>
          <w:color w:val="000000"/>
          <w:sz w:val="20"/>
          <w:szCs w:val="20"/>
          <w:lang w:eastAsia="vi-VN"/>
        </w:rPr>
      </w:pPr>
      <w:r>
        <w:rPr>
          <w:rStyle w:val="11"/>
          <w:rFonts w:ascii="Arial" w:hAnsi="Arial" w:cs="Arial"/>
          <w:color w:val="000000"/>
          <w:sz w:val="20"/>
          <w:szCs w:val="20"/>
          <w:lang w:eastAsia="vi-VN"/>
        </w:rPr>
        <w:t>Các Bộ trưởng, Thủ trưởng cơ quan ngang bộ, Thủ trưởng cơ quan thuộc Chính phủ, Chủ tịch Ủy ban nhân dân tỉnh, thành phố trực thuộc trung ương chịu trách nhiệm thi hành Nghị định này./</w:t>
      </w:r>
    </w:p>
    <w:p w14:paraId="63FA77ED">
      <w:pPr>
        <w:pStyle w:val="4"/>
        <w:shd w:val="clear" w:color="auto" w:fill="auto"/>
        <w:spacing w:after="0" w:line="240" w:lineRule="auto"/>
        <w:ind w:firstLine="720"/>
        <w:jc w:val="both"/>
        <w:rPr>
          <w:rStyle w:val="11"/>
          <w:rFonts w:ascii="Arial" w:hAnsi="Arial" w:cs="Arial"/>
          <w:color w:val="000000"/>
          <w:sz w:val="20"/>
          <w:szCs w:val="20"/>
          <w:lang w:eastAsia="vi-VN"/>
        </w:rPr>
      </w:pPr>
      <w:bookmarkStart w:id="12" w:name="_GoBack"/>
      <w:bookmarkEnd w:id="12"/>
    </w:p>
    <w:p w14:paraId="6AF4D8A9">
      <w:pPr>
        <w:pStyle w:val="4"/>
        <w:shd w:val="clear" w:color="auto" w:fill="auto"/>
        <w:spacing w:after="120" w:line="240" w:lineRule="auto"/>
        <w:ind w:firstLine="720"/>
        <w:jc w:val="both"/>
        <w:rPr>
          <w:rFonts w:ascii="Arial" w:hAnsi="Arial" w:cs="Arial"/>
          <w:sz w:val="20"/>
          <w:szCs w:val="20"/>
        </w:rPr>
      </w:pPr>
    </w:p>
    <w:p w14:paraId="5E310A36">
      <w:pPr>
        <w:pStyle w:val="15"/>
        <w:shd w:val="clear" w:color="auto" w:fill="auto"/>
        <w:spacing w:after="120"/>
        <w:ind w:firstLine="720"/>
        <w:jc w:val="both"/>
        <w:rPr>
          <w:rFonts w:ascii="Arial" w:hAnsi="Arial" w:cs="Arial"/>
          <w:sz w:val="20"/>
          <w:szCs w:val="20"/>
        </w:rPr>
        <w:sectPr>
          <w:footerReference r:id="rId3" w:type="default"/>
          <w:pgSz w:w="11900" w:h="16840"/>
          <w:pgMar w:top="1440" w:right="1440" w:bottom="1440" w:left="1440" w:header="0" w:footer="3" w:gutter="0"/>
          <w:cols w:space="720" w:num="1"/>
          <w:docGrid w:linePitch="360" w:charSpace="0"/>
        </w:sectPr>
      </w:pPr>
    </w:p>
    <w:p w14:paraId="39AA2CA6">
      <w:pPr>
        <w:pStyle w:val="4"/>
        <w:shd w:val="clear" w:color="auto" w:fill="auto"/>
        <w:spacing w:after="120" w:line="240" w:lineRule="auto"/>
        <w:ind w:firstLine="720"/>
        <w:jc w:val="both"/>
        <w:rPr>
          <w:rFonts w:ascii="Arial" w:hAnsi="Arial" w:cs="Arial"/>
          <w:sz w:val="20"/>
          <w:szCs w:val="20"/>
        </w:rPr>
      </w:pPr>
    </w:p>
    <w:sectPr>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33255">
    <w:pPr>
      <w:pStyle w:val="5"/>
    </w:pPr>
    <w:r>
      <w:rPr>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24525" cy="57150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HorizontalSpacing w:val="181"/>
  <w:drawingGridVerticalSpacing w:val="181"/>
  <w:doNotShadeFormData w:val="1"/>
  <w:characterSpacingControl w:val="compressPunctuation"/>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A4"/>
    <w:rsid w:val="00131B60"/>
    <w:rsid w:val="001915EA"/>
    <w:rsid w:val="00197C3A"/>
    <w:rsid w:val="001A6DDF"/>
    <w:rsid w:val="002639E5"/>
    <w:rsid w:val="003F1D5D"/>
    <w:rsid w:val="00523755"/>
    <w:rsid w:val="005B7760"/>
    <w:rsid w:val="006243E1"/>
    <w:rsid w:val="006856A4"/>
    <w:rsid w:val="006F2F2D"/>
    <w:rsid w:val="007002EE"/>
    <w:rsid w:val="007B78BC"/>
    <w:rsid w:val="008849D3"/>
    <w:rsid w:val="00940EBE"/>
    <w:rsid w:val="00AD2629"/>
    <w:rsid w:val="00AE4086"/>
    <w:rsid w:val="00AF05F9"/>
    <w:rsid w:val="00AF3565"/>
    <w:rsid w:val="00CC6485"/>
    <w:rsid w:val="00CF52D8"/>
    <w:rsid w:val="00D16F76"/>
    <w:rsid w:val="00D86B39"/>
    <w:rsid w:val="00F3787D"/>
    <w:rsid w:val="71AF17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1"/>
    <w:qFormat/>
    <w:uiPriority w:val="99"/>
    <w:pPr>
      <w:shd w:val="clear" w:color="auto" w:fill="FFFFFF"/>
      <w:spacing w:after="180" w:line="259" w:lineRule="auto"/>
      <w:ind w:firstLine="400"/>
    </w:pPr>
    <w:rPr>
      <w:rFonts w:ascii="Times New Roman" w:hAnsi="Times New Roman" w:cs="Times New Roman"/>
      <w:color w:val="auto"/>
      <w:sz w:val="26"/>
      <w:szCs w:val="26"/>
      <w:lang w:eastAsia="en-US"/>
    </w:rPr>
  </w:style>
  <w:style w:type="paragraph" w:styleId="5">
    <w:name w:val="footer"/>
    <w:basedOn w:val="1"/>
    <w:link w:val="20"/>
    <w:unhideWhenUsed/>
    <w:qFormat/>
    <w:uiPriority w:val="99"/>
    <w:pPr>
      <w:tabs>
        <w:tab w:val="center" w:pos="4680"/>
        <w:tab w:val="right" w:pos="9360"/>
      </w:tabs>
    </w:pPr>
  </w:style>
  <w:style w:type="paragraph" w:styleId="6">
    <w:name w:val="header"/>
    <w:basedOn w:val="1"/>
    <w:link w:val="19"/>
    <w:unhideWhenUsed/>
    <w:uiPriority w:val="99"/>
    <w:pPr>
      <w:tabs>
        <w:tab w:val="center" w:pos="4680"/>
        <w:tab w:val="right" w:pos="9360"/>
      </w:tabs>
    </w:pPr>
  </w:style>
  <w:style w:type="character" w:styleId="7">
    <w:name w:val="Hyperlink"/>
    <w:uiPriority w:val="99"/>
    <w:rPr>
      <w:color w:val="0066CC"/>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Footnote_"/>
    <w:link w:val="10"/>
    <w:uiPriority w:val="99"/>
    <w:rPr>
      <w:rFonts w:ascii="Times New Roman" w:hAnsi="Times New Roman" w:cs="Times New Roman"/>
      <w:u w:val="none"/>
    </w:rPr>
  </w:style>
  <w:style w:type="paragraph" w:customStyle="1" w:styleId="10">
    <w:name w:val="Footnote"/>
    <w:basedOn w:val="1"/>
    <w:link w:val="9"/>
    <w:qFormat/>
    <w:uiPriority w:val="99"/>
    <w:pPr>
      <w:shd w:val="clear" w:color="auto" w:fill="FFFFFF"/>
    </w:pPr>
    <w:rPr>
      <w:rFonts w:ascii="Times New Roman" w:hAnsi="Times New Roman" w:cs="Times New Roman"/>
      <w:color w:val="auto"/>
      <w:lang w:eastAsia="en-US"/>
    </w:rPr>
  </w:style>
  <w:style w:type="character" w:customStyle="1" w:styleId="11">
    <w:name w:val="Body Text Char1"/>
    <w:link w:val="4"/>
    <w:qFormat/>
    <w:uiPriority w:val="99"/>
    <w:rPr>
      <w:rFonts w:ascii="Times New Roman" w:hAnsi="Times New Roman" w:cs="Times New Roman"/>
      <w:sz w:val="26"/>
      <w:szCs w:val="26"/>
      <w:u w:val="none"/>
    </w:rPr>
  </w:style>
  <w:style w:type="character" w:customStyle="1" w:styleId="12">
    <w:name w:val="Picture caption_"/>
    <w:link w:val="13"/>
    <w:qFormat/>
    <w:uiPriority w:val="99"/>
    <w:rPr>
      <w:rFonts w:ascii="Times New Roman" w:hAnsi="Times New Roman" w:cs="Times New Roman"/>
      <w:b/>
      <w:bCs/>
      <w:sz w:val="28"/>
      <w:szCs w:val="28"/>
      <w:u w:val="none"/>
    </w:rPr>
  </w:style>
  <w:style w:type="paragraph" w:customStyle="1" w:styleId="13">
    <w:name w:val="Picture caption"/>
    <w:basedOn w:val="1"/>
    <w:link w:val="12"/>
    <w:qFormat/>
    <w:uiPriority w:val="99"/>
    <w:pPr>
      <w:shd w:val="clear" w:color="auto" w:fill="FFFFFF"/>
    </w:pPr>
    <w:rPr>
      <w:rFonts w:ascii="Times New Roman" w:hAnsi="Times New Roman" w:cs="Times New Roman"/>
      <w:b/>
      <w:bCs/>
      <w:color w:val="auto"/>
      <w:sz w:val="28"/>
      <w:szCs w:val="28"/>
      <w:lang w:eastAsia="en-US"/>
    </w:rPr>
  </w:style>
  <w:style w:type="character" w:customStyle="1" w:styleId="14">
    <w:name w:val="Body text (2)_"/>
    <w:link w:val="15"/>
    <w:qFormat/>
    <w:uiPriority w:val="99"/>
    <w:rPr>
      <w:rFonts w:ascii="Times New Roman" w:hAnsi="Times New Roman" w:cs="Times New Roman"/>
      <w:sz w:val="22"/>
      <w:szCs w:val="22"/>
      <w:u w:val="none"/>
    </w:rPr>
  </w:style>
  <w:style w:type="paragraph" w:customStyle="1" w:styleId="15">
    <w:name w:val="Body text (2)"/>
    <w:basedOn w:val="1"/>
    <w:link w:val="14"/>
    <w:qFormat/>
    <w:uiPriority w:val="99"/>
    <w:pPr>
      <w:shd w:val="clear" w:color="auto" w:fill="FFFFFF"/>
    </w:pPr>
    <w:rPr>
      <w:rFonts w:ascii="Times New Roman" w:hAnsi="Times New Roman" w:cs="Times New Roman"/>
      <w:color w:val="auto"/>
      <w:sz w:val="22"/>
      <w:szCs w:val="22"/>
      <w:lang w:eastAsia="en-US"/>
    </w:rPr>
  </w:style>
  <w:style w:type="character" w:customStyle="1" w:styleId="16">
    <w:name w:val="Heading #1_"/>
    <w:link w:val="17"/>
    <w:qFormat/>
    <w:uiPriority w:val="99"/>
    <w:rPr>
      <w:rFonts w:ascii="Times New Roman" w:hAnsi="Times New Roman" w:cs="Times New Roman"/>
      <w:b/>
      <w:bCs/>
      <w:sz w:val="28"/>
      <w:szCs w:val="28"/>
      <w:u w:val="none"/>
    </w:rPr>
  </w:style>
  <w:style w:type="paragraph" w:customStyle="1" w:styleId="17">
    <w:name w:val="Heading #1"/>
    <w:basedOn w:val="1"/>
    <w:link w:val="16"/>
    <w:qFormat/>
    <w:uiPriority w:val="99"/>
    <w:pPr>
      <w:shd w:val="clear" w:color="auto" w:fill="FFFFFF"/>
      <w:spacing w:after="220"/>
      <w:outlineLvl w:val="0"/>
    </w:pPr>
    <w:rPr>
      <w:rFonts w:ascii="Times New Roman" w:hAnsi="Times New Roman" w:cs="Times New Roman"/>
      <w:b/>
      <w:bCs/>
      <w:color w:val="auto"/>
      <w:sz w:val="28"/>
      <w:szCs w:val="28"/>
      <w:lang w:eastAsia="en-US"/>
    </w:rPr>
  </w:style>
  <w:style w:type="character" w:customStyle="1" w:styleId="18">
    <w:name w:val="Body Text Char"/>
    <w:semiHidden/>
    <w:qFormat/>
    <w:uiPriority w:val="99"/>
    <w:rPr>
      <w:rFonts w:cs="Courier New"/>
      <w:color w:val="000000"/>
      <w:lang w:val="vi-VN" w:eastAsia="vi-VN"/>
    </w:rPr>
  </w:style>
  <w:style w:type="character" w:customStyle="1" w:styleId="19">
    <w:name w:val="Header Char"/>
    <w:link w:val="6"/>
    <w:qFormat/>
    <w:uiPriority w:val="99"/>
    <w:rPr>
      <w:rFonts w:cs="Courier New"/>
      <w:color w:val="000000"/>
      <w:lang w:val="vi-VN" w:eastAsia="vi-VN"/>
    </w:rPr>
  </w:style>
  <w:style w:type="character" w:customStyle="1" w:styleId="20">
    <w:name w:val="Footer Char"/>
    <w:link w:val="5"/>
    <w:qFormat/>
    <w:uiPriority w:val="99"/>
    <w:rPr>
      <w:rFonts w:cs="Courier New"/>
      <w:color w:val="000000"/>
      <w:lang w:val="vi-VN" w:eastAsia="vi-V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4468</Words>
  <Characters>25469</Characters>
  <Lines>212</Lines>
  <Paragraphs>59</Paragraphs>
  <TotalTime>1</TotalTime>
  <ScaleCrop>false</ScaleCrop>
  <LinksUpToDate>false</LinksUpToDate>
  <CharactersWithSpaces>29878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2024-05-09T06:27:00Z</dcterms:created>
  <dc:creator>Windows User</dc:creator>
  <cp:lastModifiedBy>Quyền Lương Thế</cp:lastModifiedBy>
  <dcterms:modified xsi:type="dcterms:W3CDTF">2025-07-23T07:27:16Z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9EF1C12672CA4E0E9B6333A0EB8D2612_13</vt:lpwstr>
  </property>
</Properties>
</file>