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jc w:val="center"/>
      </w:pPr>
      <w:r>
        <w:rPr>
          <w:rFonts w:ascii="Arial" w:hAnsi="Arial"/>
          <w:b/>
          <w:color w:val="808080"/>
          <w:sz w:val="28"/>
        </w:rPr>
        <w:t>BÁO CÁO THUYẾT MINH KỸ THUẬT</w:t>
      </w:r>
    </w:p>
    <w:p>
      <w:pPr>
        <w:spacing w:after="400"/>
        <w:jc w:val="center"/>
      </w:pPr>
      <w:r>
        <w:rPr>
          <w:rFonts w:ascii="Arial" w:hAnsi="Arial"/>
          <w:b/>
          <w:color w:val="102C57"/>
          <w:sz w:val="48"/>
        </w:rPr>
        <w:t>KIẾN TRÚC &amp; AN TOÀN HỆ THỐNG</w:t>
        <w:br/>
        <w:t>OPC MIS AGENTIC AI</w:t>
      </w:r>
    </w:p>
    <w:p>
      <w:r>
        <w:br w:type="page"/>
      </w:r>
    </w:p>
    <w:p>
      <w:pPr>
        <w:pStyle w:val="Heading1"/>
        <w:keepNext/>
        <w:spacing w:before="240" w:after="120"/>
        <w:pBdr>
          <w:bottom w:val="single" w:sz="12" w:space="4" w:color="102C57"/>
        </w:pBdr>
      </w:pPr>
      <w:r>
        <w:rPr>
          <w:rFonts w:ascii="Arial" w:hAnsi="Arial"/>
          <w:color w:val="102C57"/>
          <w:sz w:val="36"/>
        </w:rPr>
        <w:t>1. Chức năng của từng Agent và Skill trong hệ thống</w:t>
      </w:r>
    </w:p>
    <w:p>
      <w:r>
        <w:t>Hệ thống OPC MIS được thiết kế theo mô hình Modular Monolith kết hợp cùng các Agentic AI chuyên biệt nhằm thực thi các tác vụ từ thẩm định, đánh giá rủi ro đến tổng hợp đề xuất quyết định hợp đồng thương mại:</w:t>
      </w:r>
    </w:p>
    <w:p>
      <w:pPr>
        <w:pStyle w:val="ListBullet"/>
        <w:spacing w:after="80"/>
      </w:pPr>
      <w:r>
        <w:rPr>
          <w:rFonts w:ascii="Arial" w:hAnsi="Arial"/>
          <w:b/>
        </w:rPr>
        <w:t xml:space="preserve">Planner Intake Agent: </w:t>
      </w:r>
      <w:r>
        <w:rPr>
          <w:rFonts w:ascii="Arial" w:hAnsi="Arial"/>
        </w:rPr>
        <w:t>Thu nhận hồ sơ, bóc tách thông tin hợp đồng và lập kế hoạch thẩm định ban đầu bao gồm Finance Assessment, Operations Assessment và Initial Risk Scan.</w:t>
      </w:r>
    </w:p>
    <w:p>
      <w:pPr>
        <w:pStyle w:val="ListBullet"/>
        <w:spacing w:after="80"/>
      </w:pPr>
      <w:r>
        <w:rPr>
          <w:rFonts w:ascii="Arial" w:hAnsi="Arial"/>
          <w:b/>
        </w:rPr>
        <w:t xml:space="preserve">Finance Assessment Agent / Skill: </w:t>
      </w:r>
      <w:r>
        <w:rPr>
          <w:rFonts w:ascii="Arial" w:hAnsi="Arial"/>
        </w:rPr>
        <w:t>Thực thi phân tích tài chính hợp đồng như doanh thu liên kết, chi phí ước tính, biên lợi nhuận gộp danh nghĩa, dòng tiền và kiểm tra benchmark biên lợi nhuận.</w:t>
      </w:r>
    </w:p>
    <w:p>
      <w:pPr>
        <w:pStyle w:val="ListBullet"/>
        <w:spacing w:after="80"/>
      </w:pPr>
      <w:r>
        <w:rPr>
          <w:rFonts w:ascii="Arial" w:hAnsi="Arial"/>
          <w:b/>
        </w:rPr>
        <w:t xml:space="preserve">Operations Assessment Agent / Skill: </w:t>
      </w:r>
      <w:r>
        <w:rPr>
          <w:rFonts w:ascii="Arial" w:hAnsi="Arial"/>
        </w:rPr>
        <w:t>Đánh giá khả năng giao hàng và rủi ro tiến độ bằng việc đối soát lịch trình đơn hàng, số lượng đơn hàng liên quan, khoảng trống giữa các lần giao và trùng lặp tiến độ thực hiện.</w:t>
      </w:r>
    </w:p>
    <w:p>
      <w:pPr>
        <w:pStyle w:val="ListBullet"/>
        <w:spacing w:after="80"/>
      </w:pPr>
      <w:r>
        <w:rPr>
          <w:rFonts w:ascii="Arial" w:hAnsi="Arial"/>
          <w:b/>
        </w:rPr>
        <w:t xml:space="preserve">Initial Risk Scan Agent / Skill: </w:t>
      </w:r>
      <w:r>
        <w:rPr>
          <w:rFonts w:ascii="Arial" w:hAnsi="Arial"/>
        </w:rPr>
        <w:t>Thực hiện rà quét rủi ro sơ bộ dựa trên các chiều thông tin tài chính &amp; vận hành, phát hiện sớm các ngoại lệ chính sách nghiêm trọng (Major Exception).</w:t>
      </w:r>
    </w:p>
    <w:p>
      <w:pPr>
        <w:pStyle w:val="ListBullet"/>
        <w:spacing w:after="80"/>
      </w:pPr>
      <w:r>
        <w:rPr>
          <w:rFonts w:ascii="Arial" w:hAnsi="Arial"/>
          <w:b/>
        </w:rPr>
        <w:t xml:space="preserve">Banking Discovery &amp; Precheck Agent / Skill: </w:t>
      </w:r>
      <w:r>
        <w:rPr>
          <w:rFonts w:ascii="Arial" w:hAnsi="Arial"/>
        </w:rPr>
        <w:t>Phát hiện nhu cầu ngân hàng (ví dụ: Bảo lãnh thực hiện hợp đồng - Performance Bond), tính toán khoảng trống tài trợ và gửi yêu cầu thẩm định sơ bộ tới hệ thống ngân hàng liên kết.</w:t>
      </w:r>
    </w:p>
    <w:p>
      <w:pPr>
        <w:pStyle w:val="ListBullet"/>
        <w:spacing w:after="80"/>
      </w:pPr>
      <w:r>
        <w:rPr>
          <w:rFonts w:ascii="Arial" w:hAnsi="Arial"/>
          <w:b/>
        </w:rPr>
        <w:t xml:space="preserve">Decision Composer Agent / Skill: </w:t>
      </w:r>
      <w:r>
        <w:rPr>
          <w:rFonts w:ascii="Arial" w:hAnsi="Arial"/>
        </w:rPr>
        <w:t>Tổng hợp thông tin rủi ro và các điểm hạn chế bằng chứng để soạn thảo đề xuất quyết định cuối cùng (Chấp thuận, Đàm phán có điều kiện hoặc Từ chối) gửi cho Founder.</w:t>
      </w:r>
    </w:p>
    <w:p>
      <w:pPr>
        <w:pStyle w:val="Heading1"/>
        <w:keepNext/>
        <w:spacing w:before="240" w:after="120"/>
        <w:pBdr>
          <w:bottom w:val="single" w:sz="12" w:space="4" w:color="102C57"/>
        </w:pBdr>
      </w:pPr>
      <w:r>
        <w:rPr>
          <w:rFonts w:ascii="Arial" w:hAnsi="Arial"/>
          <w:color w:val="102C57"/>
          <w:sz w:val="36"/>
        </w:rPr>
        <w:t>2. Các thành phần kiến trúc chính của hệ thống</w:t>
      </w:r>
    </w:p>
    <w:p>
      <w:r>
        <w:t>Hệ thống tuân thủ chặt chẽ nguyên tắc kiến trúc đa tầng (Layered Architecture) với luồng phụ thuộc một chiều từ ngoài vào trong:</w:t>
      </w:r>
    </w:p>
    <w:p>
      <w:pPr>
        <w:pStyle w:val="ListBullet"/>
        <w:spacing w:after="80"/>
      </w:pPr>
      <w:r>
        <w:rPr>
          <w:rFonts w:ascii="Arial" w:hAnsi="Arial"/>
          <w:b/>
        </w:rPr>
        <w:t xml:space="preserve">Lớp Giao diện &amp; Điểm cuối (CLI / FastAPI): </w:t>
      </w:r>
      <w:r>
        <w:rPr>
          <w:rFonts w:ascii="Arial" w:hAnsi="Arial"/>
        </w:rPr>
        <w:t>Tiếp nhận các yêu cầu đầu vào từ người dùng hoặc API Client, thực hiện chuyển đổi request/response mà không chứa bất kỳ logic nghiệp vụ nào.</w:t>
      </w:r>
    </w:p>
    <w:p>
      <w:pPr>
        <w:pStyle w:val="ListBullet"/>
        <w:spacing w:after="80"/>
      </w:pPr>
      <w:r>
        <w:rPr>
          <w:rFonts w:ascii="Arial" w:hAnsi="Arial"/>
          <w:b/>
        </w:rPr>
        <w:t xml:space="preserve">Lớp Điều phối Quy trình (Workflow Orchestrator): </w:t>
      </w:r>
      <w:r>
        <w:rPr>
          <w:rFonts w:ascii="Arial" w:hAnsi="Arial"/>
        </w:rPr>
        <w:t>Chịu trách nhiệm quản lý máy trạng thái quy trình (Workflow State Machine), lưu vết lịch sử phiên chạy, kiểm soát lưu vết bằng chứng (Evidence Traceability) và cơ chế Dừng có kiểm soát (Approval Control Plane).</w:t>
      </w:r>
    </w:p>
    <w:p>
      <w:pPr>
        <w:pStyle w:val="ListBullet"/>
        <w:spacing w:after="80"/>
      </w:pPr>
      <w:r>
        <w:rPr>
          <w:rFonts w:ascii="Arial" w:hAnsi="Arial"/>
          <w:b/>
        </w:rPr>
        <w:t xml:space="preserve">Lớp Luật &amp; Quản trị (Governance &amp; Policy Engine): </w:t>
      </w:r>
      <w:r>
        <w:rPr>
          <w:rFonts w:ascii="Arial" w:hAnsi="Arial"/>
        </w:rPr>
        <w:t>Kiểm soát các cổng phê duyệt (Approval Gate), đối soát các hành động được bảo vệ (Protected Actions) dựa trên chính sách bảo mật hệ thống và cấu hình tệp dữ liệu.</w:t>
      </w:r>
    </w:p>
    <w:p>
      <w:pPr>
        <w:pStyle w:val="ListBullet"/>
        <w:spacing w:after="80"/>
      </w:pPr>
      <w:r>
        <w:rPr>
          <w:rFonts w:ascii="Arial" w:hAnsi="Arial"/>
          <w:b/>
        </w:rPr>
        <w:t xml:space="preserve">Lớp Nghiệp vụ chính &amp; Domain (Domain &amp; Business Components): </w:t>
      </w:r>
      <w:r>
        <w:rPr>
          <w:rFonts w:ascii="Arial" w:hAnsi="Arial"/>
        </w:rPr>
        <w:t>Chứa các quy tắc nghiệp vụ thuần túy, mô hình dữ liệu Pydantic và logic tính toán khách quan của từng component, đảm bảo độc lập hoàn toàn với hạ tầng và UI.</w:t>
      </w:r>
    </w:p>
    <w:p>
      <w:pPr>
        <w:pStyle w:val="ListBullet"/>
        <w:spacing w:after="80"/>
      </w:pPr>
      <w:r>
        <w:rPr>
          <w:rFonts w:ascii="Arial" w:hAnsi="Arial"/>
          <w:b/>
        </w:rPr>
        <w:t xml:space="preserve">Lớp Chuyển đổi Hạ tầng (Infrastructure Adapters): </w:t>
      </w:r>
      <w:r>
        <w:rPr>
          <w:rFonts w:ascii="Arial" w:hAnsi="Arial"/>
        </w:rPr>
        <w:t>Thực thi kết nối cơ sở dữ liệu (SQLite), bộ máy AI (OpenAI API), phân tích tệp Excel (pandas, openpyxl) và tích hợp các API ngân hàng giả lập.</w:t>
      </w:r>
    </w:p>
    <w:p>
      <w:pPr>
        <w:pStyle w:val="Heading1"/>
        <w:keepNext/>
        <w:spacing w:before="240" w:after="120"/>
        <w:pBdr>
          <w:bottom w:val="single" w:sz="12" w:space="4" w:color="102C57"/>
        </w:pBdr>
      </w:pPr>
      <w:r>
        <w:rPr>
          <w:rFonts w:ascii="Arial" w:hAnsi="Arial"/>
          <w:color w:val="102C57"/>
          <w:sz w:val="36"/>
        </w:rPr>
        <w:t>3. Quy trình nghiệp vụ (Workflow) của hệ thống</w:t>
      </w:r>
    </w:p>
    <w:p>
      <w:r>
        <w:t>Quy trình xử lý hồ sơ hợp đồng được thực thi qua 5 giai đoạn có kiểm soát nghiêm ngặt:</w:t>
      </w:r>
    </w:p>
    <w:p>
      <w:pPr>
        <w:pStyle w:val="ListBullet"/>
        <w:spacing w:after="80"/>
      </w:pPr>
      <w:r>
        <w:rPr>
          <w:rFonts w:ascii="Arial" w:hAnsi="Arial"/>
          <w:b/>
        </w:rPr>
        <w:t xml:space="preserve">Giai đoạn 1: Nạp Dữ liệu &amp; Đánh giá Sơ bộ (Intake &amp; Initial Assessment): </w:t>
      </w:r>
      <w:r>
        <w:rPr>
          <w:rFonts w:ascii="Arial" w:hAnsi="Arial"/>
        </w:rPr>
        <w:t>Nạp tệp Excel dữ liệu nghiệp vụ, kiểm tra tính toàn vẹn và thực hiện thẩm định cơ bản về Tài chính và Vận hành.</w:t>
      </w:r>
    </w:p>
    <w:p>
      <w:pPr>
        <w:pStyle w:val="ListBullet"/>
        <w:spacing w:after="80"/>
      </w:pPr>
      <w:r>
        <w:rPr>
          <w:rFonts w:ascii="Arial" w:hAnsi="Arial"/>
          <w:b/>
        </w:rPr>
        <w:t xml:space="preserve">Giai đoạn 2: Khảo sát &amp; Phê duyệt Ngân hàng (Banking Precheck Flow): </w:t>
      </w:r>
      <w:r>
        <w:rPr>
          <w:rFonts w:ascii="Arial" w:hAnsi="Arial"/>
        </w:rPr>
        <w:t>Khi phát hiện các điều khoản về bảo lãnh (Performance Bond), quy trình tạm dừng tại Cổng kiểm soát để Founder phê duyệt gửi yêu cầu precheck sang ngân hàng. Tiếp nhận bằng chứng phản hồi tự động từ hệ thống ngân hàng.</w:t>
      </w:r>
    </w:p>
    <w:p>
      <w:pPr>
        <w:pStyle w:val="ListBullet"/>
        <w:spacing w:after="80"/>
      </w:pPr>
      <w:r>
        <w:rPr>
          <w:rFonts w:ascii="Arial" w:hAnsi="Arial"/>
          <w:b/>
        </w:rPr>
        <w:t xml:space="preserve">Giai đoạn 3: Phân tích Rủi ro &amp; Soạn thảo Quyết định (Risk Scan &amp; Card Composition): </w:t>
      </w:r>
      <w:r>
        <w:rPr>
          <w:rFonts w:ascii="Arial" w:hAnsi="Arial"/>
        </w:rPr>
        <w:t>Chạy bộ quy tắc rà quét rủi ro cuối cùng dựa trên phản hồi của ngân hàng để Decision Agent sinh ra dự thảo Phiếu quyết định (Decision Card) chứa các lý do và khuyến nghị tương ứng.</w:t>
      </w:r>
    </w:p>
    <w:p>
      <w:pPr>
        <w:pStyle w:val="ListBullet"/>
        <w:spacing w:after="80"/>
      </w:pPr>
      <w:r>
        <w:rPr>
          <w:rFonts w:ascii="Arial" w:hAnsi="Arial"/>
          <w:b/>
        </w:rPr>
        <w:t xml:space="preserve">Giai đoạn 4: Vòng đàm phán điều kiện (Negotiation Loop - Tính năng đề xuất mở rộng): </w:t>
      </w:r>
      <w:r>
        <w:rPr>
          <w:rFonts w:ascii="Arial" w:hAnsi="Arial"/>
        </w:rPr>
        <w:t>Nếu Decision Card khuyến nghị 'Đàm phán để chấp thuận', Founder duyệt gửi các điều kiện đàm phán thương mại cho khách hàng. Hệ thống ghi nhận kết quả phản hồi của khách hàng đối với từng điều kiện riêng biệt trước khi cho phép tiếp tục quy trình.</w:t>
      </w:r>
    </w:p>
    <w:p>
      <w:pPr>
        <w:pStyle w:val="ListBullet"/>
        <w:spacing w:after="80"/>
      </w:pPr>
      <w:r>
        <w:rPr>
          <w:rFonts w:ascii="Arial" w:hAnsi="Arial"/>
          <w:b/>
        </w:rPr>
        <w:t xml:space="preserve">Giai đoạn 5: Quyết định cuối &amp; Giải phóng hồ sơ (Final Release): </w:t>
      </w:r>
      <w:r>
        <w:rPr>
          <w:rFonts w:ascii="Arial" w:hAnsi="Arial"/>
        </w:rPr>
        <w:t>Founder phê duyệt chính thức trên Decision Card để hệ thống ký số, lưu vết hồ sơ vào kho bằng chứng bất biến (Evidence Store) và chuẩn bị hồ sơ gửi đối tác bên ngoài.</w:t>
      </w:r>
    </w:p>
    <w:p>
      <w:pPr>
        <w:pStyle w:val="Heading1"/>
        <w:keepNext/>
        <w:spacing w:before="240" w:after="120"/>
        <w:pBdr>
          <w:bottom w:val="single" w:sz="12" w:space="4" w:color="102C57"/>
        </w:pBdr>
      </w:pPr>
      <w:r>
        <w:rPr>
          <w:rFonts w:ascii="Arial" w:hAnsi="Arial"/>
          <w:color w:val="102C57"/>
          <w:sz w:val="36"/>
        </w:rPr>
        <w:t>4. Cơ sở lý luận về thuật toán ẩn danh dữ liệu (Data Masking)</w:t>
      </w:r>
    </w:p>
    <w:p>
      <w:r>
        <w:t>Để đảm bảo an toàn thông tin và bảo vệ quyền riêng tư của dữ liệu khách hàng (PII) cũng như dữ liệu doanh nghiệp nhạy cảm trước khi gửi tới LLM ngoại vi (như OpenAI), hệ thống thực thi chính sách ẩn danh dữ liệu một chiều dựa trên hai thuật toán lõi được tích hợp trực tiếp tại lớp Security thuộc Infrastructure:</w:t>
      </w:r>
    </w:p>
    <w:p>
      <w:pPr>
        <w:pStyle w:val="Heading2"/>
        <w:keepNext/>
        <w:spacing w:before="240" w:after="120"/>
      </w:pPr>
      <w:r>
        <w:rPr>
          <w:rFonts w:ascii="Arial" w:hAnsi="Arial"/>
          <w:color w:val="126E82"/>
          <w:sz w:val="28"/>
        </w:rPr>
        <w:t>4.1 Định danh giả bằng HMAC-SHA256 (HmacContextualTokenizer)</w:t>
      </w:r>
    </w:p>
    <w:p>
      <w:r>
        <w:t>Thuật toán chính thức được chọn để ẩn danh các định danh có cấu trúc (như Tên khách hàng, Mã số thuế, Số hợp đồng, Mã đơn hàng) là HMAC-SHA256 với mã hóa đầu ra dạng Base32 tối giản.</w:t>
      </w:r>
    </w:p>
    <w:p>
      <w:r>
        <w:t>Lý do lựa chọn thuật toán:</w:t>
        <w:br/>
        <w:t>1. Tính nhất quán có kiểm soát (Deterministic &amp; Stable): Khác với việc sinh chuỗi ngẫu nhiên (UUID) khiến hệ thống mất liên kết dữ liệu giữa các lần chạy, HMAC-SHA256 đảm bảo cùng một giá trị đầu vào (ví dụ: cùng một Mã khách hàng) trong cùng một ngữ cảnh nghiệp vụ sẽ luôn được mã hóa thành cùng một Token duy nhất. Điều này cho phép các tác vụ đối soát, kiểm tra logic ranh giới rủi ro tài chính hoặc đàm phán hợp đồng vẫn diễn ra chính xác mà không cần biết dữ liệu gốc.</w:t>
        <w:br/>
        <w:t>2. Phân tách ngữ cảnh (Contextual Scoping): Thuật toán sử dụng một cấu trúc TokenizationContext gồm: Nhà cung cấp dịch vụ, Mục đích sử dụng, Kiểu trường dữ liệu và Phiên bản khóa bảo mật. Nếu bất kỳ biến ngữ cảnh nào thay đổi, kết quả Token sẽ thay đổi hoàn toàn, giúp ngăn chặn việc liên kết chéo dữ liệu trái phép giữa các phân hệ.</w:t>
        <w:br/>
        <w:t>3. Định dạng đầu ra an toàn: Token sau khi xử lý có dạng thức TOK-[FIELD_PREFIX]-[KEY_VERSION]-[HMAC_BASE32], hoàn toàn bảo mật và không lưu lại bất cứ ánh xạ ngược nào trong cơ sở dữ liệu.</w:t>
      </w:r>
    </w:p>
    <w:p>
      <w:pPr>
        <w:pStyle w:val="Heading2"/>
        <w:keepNext/>
        <w:spacing w:before="240" w:after="120"/>
      </w:pPr>
      <w:r>
        <w:rPr>
          <w:rFonts w:ascii="Arial" w:hAnsi="Arial"/>
          <w:color w:val="126E82"/>
          <w:sz w:val="28"/>
        </w:rPr>
        <w:t>4.2 Thuật toán che giấu dữ liệu tự do bằng Regex (DeterministicFreeTextRedactor)</w:t>
      </w:r>
    </w:p>
    <w:p>
      <w:r>
        <w:t>Đối với các trường dữ liệu tự do (như ghi chú của nhân viên, tóm tắt hợp đồng thô, lưu ý rủi ro), hệ thống sử dụng thuật toán che giấu dựa trên biểu thức chính quy (Regex Pattern Redaction) kết hợp đối khớp danh sách định danh chính xác (Exact Identifier Redaction).</w:t>
      </w:r>
    </w:p>
    <w:p>
      <w:r>
        <w:t>Lý do lựa chọn thuật toán:</w:t>
        <w:br/>
        <w:t>1. Loại bỏ triệt để dữ liệu nhạy cảm dạng tự do: Do văn bản tự do không có cấu trúc cố định, việc sử dụng các mẫu Regex chuẩn hóa là cách hiệu quả nhất để phát hiện các mẫu thông tin nhạy cảm đặc thù như: Địa chỉ Email, Số điện thoại (Việt Nam +84 hoặc 0), API Keys/Bearer Tokens, Tài khoản ngân hàng, Địa chỉ URL và Đường dẫn tệp tin hệ thống (Windows/Linux).</w:t>
        <w:br/>
        <w:t>2. Ưu tiên đối khớp danh tính trước: Thuật toán thực hiện rà quét và thay thế các từ khóa định danh cụ thể từ dữ liệu có cấu trúc trước (như tên doanh nghiệp gốc), sau đó mới rà quét các mẫu Regex chung để đảm bảo không bỏ sót dữ liệu PII nào.</w:t>
        <w:br/>
        <w:t>3. Nhãn hóa vùng ẩn danh: Thay thế các phần tử nhạy cảm bằng nhãn gợi nhớ như [EMAIL_REDACTED], [PHONE_REDACTED], [SECRET_REDACTED] giúp mô hình ngôn ngữ lớn (LLM) vẫn hiểu được ngữ cảnh cấu trúc câu để phân tích mà không gặp rào cản thông tin bị mất hoàn toàn.</w:t>
      </w:r>
    </w:p>
    <w:p>
      <w:pPr>
        <w:pStyle w:val="Heading1"/>
        <w:keepNext/>
        <w:spacing w:before="240" w:after="120"/>
        <w:pBdr>
          <w:bottom w:val="single" w:sz="12" w:space="4" w:color="102C57"/>
        </w:pBdr>
      </w:pPr>
      <w:r>
        <w:rPr>
          <w:rFonts w:ascii="Arial" w:hAnsi="Arial"/>
          <w:color w:val="102C57"/>
          <w:sz w:val="36"/>
        </w:rPr>
        <w:t>5. Ranh giới bảo mật khi gọi API ngoại vi</w:t>
      </w:r>
    </w:p>
    <w:p>
      <w:r>
        <w:t>Nhằm thiết lập một hành lang an toàn thông tin vững chắc, hệ thống định nghĩa rõ ràng các ranh giới bảo mật khi thực hiện tích hợp API với bên thứ ba (OpenAI, Core Banking):</w:t>
      </w:r>
    </w:p>
    <w:p>
      <w:pPr>
        <w:pStyle w:val="ListBullet"/>
        <w:spacing w:after="80"/>
      </w:pPr>
      <w:r>
        <w:rPr>
          <w:rFonts w:ascii="Arial" w:hAnsi="Arial"/>
          <w:b/>
        </w:rPr>
        <w:t xml:space="preserve">Không rò rỉ dữ liệu thô (Zero Raw Data Leakage): </w:t>
      </w:r>
      <w:r>
        <w:rPr>
          <w:rFonts w:ascii="Arial" w:hAnsi="Arial"/>
        </w:rPr>
        <w:t>Mọi payload gửi ra ngoài ranh giới hệ thống bắt buộc phải đi qua bộ lọc Anonymizer. Nghiêm cấm gửi nguyên bản tệp tin đính kèm hoặc các trường thông tin nhạy cảm chưa ẩn danh.</w:t>
      </w:r>
    </w:p>
    <w:p>
      <w:pPr>
        <w:pStyle w:val="ListBullet"/>
        <w:spacing w:after="80"/>
      </w:pPr>
      <w:r>
        <w:rPr>
          <w:rFonts w:ascii="Arial" w:hAnsi="Arial"/>
          <w:b/>
        </w:rPr>
        <w:t xml:space="preserve">Cách ly lỗi qua lớp chuyển đổi (Fault Isolation via Ports &amp; Adapters): </w:t>
      </w:r>
      <w:r>
        <w:rPr>
          <w:rFonts w:ascii="Arial" w:hAnsi="Arial"/>
        </w:rPr>
        <w:t>Các cuộc gọi API ngoại vi được đóng gói độc lập trong tầng Infrastructure. Mọi lỗi kết nối, lỗi timeout hoặc phản hồi không đúng schema từ OpenAI/Banking sẽ được xử lý cục bộ và trả về trạng thái lỗi an toàn (Fail-Safe), không làm sập Master Workflow.</w:t>
      </w:r>
    </w:p>
    <w:p>
      <w:pPr>
        <w:pStyle w:val="ListBullet"/>
        <w:spacing w:after="80"/>
      </w:pPr>
      <w:r>
        <w:rPr>
          <w:rFonts w:ascii="Arial" w:hAnsi="Arial"/>
          <w:b/>
        </w:rPr>
        <w:t xml:space="preserve">Bảo mật khóa truy cập (Credential Security): </w:t>
      </w:r>
      <w:r>
        <w:rPr>
          <w:rFonts w:ascii="Arial" w:hAnsi="Arial"/>
        </w:rPr>
        <w:t>Mọi API Keys và mật khẩu kết nối tuyệt đối không được ghi mã cứng (Hard-coded) trong mã nguồn. Toàn bộ thông tin xác thực phải được nạp thông qua biến môi trường (.env) được mã hóa hoặc cấu hình bảo mật ở cấp hệ điều hành.</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i/>
        <w:sz w:val="18"/>
      </w:rPr>
      <w:t>OPC MIS · Tài liệu mật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