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2026. 6. 30. 기준 센터별 등원율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</w:tcPr>
          <w:p>
            <w:r>
              <w:t>센터명</w:t>
            </w:r>
          </w:p>
        </w:tc>
        <w:tc>
          <w:tcPr>
            <w:tcW w:type="dxa" w:w="5760"/>
            <w:gridSpan w:val="2"/>
          </w:tcPr>
          <w:p>
            <w:r>
              <w:t>지표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등록 학생 수</w:t>
            </w:r>
          </w:p>
        </w:tc>
        <w:tc>
          <w:tcPr>
            <w:tcW w:type="dxa" w:w="2880"/>
          </w:tcPr>
          <w:p>
            <w:r>
              <w:t>등원율(%)</w:t>
            </w:r>
          </w:p>
        </w:tc>
      </w:tr>
      <w:tr>
        <w:tc>
          <w:tcPr>
            <w:tcW w:type="dxa" w:w="2880"/>
          </w:tcPr>
          <w:p>
            <w:r>
              <w:t>센터A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67.8</w:t>
            </w:r>
          </w:p>
        </w:tc>
      </w:tr>
      <w:tr>
        <w:tc>
          <w:tcPr>
            <w:tcW w:type="dxa" w:w="2880"/>
          </w:tcPr>
          <w:p>
            <w:r>
              <w:t>센터B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71.2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