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</w:pPr>
      <w:r>
        <w:rPr>
          <w:rFonts w:hint="eastAsia"/>
          <w:lang w:eastAsia="zh-CN"/>
        </w:rPr>
        <w:t>实验六 噬菌体效价测定</w:t>
      </w:r>
    </w:p>
    <w:p>
      <w:pPr>
        <w:pStyle w:val="4"/>
        <w:bidi w:val="0"/>
        <w:jc w:val="center"/>
      </w:pPr>
      <w:r>
        <w:rPr>
          <w:rFonts w:hint="eastAsia"/>
          <w:lang w:eastAsia="zh-CN"/>
        </w:rPr>
        <w:t>实验报告</w:t>
      </w:r>
    </w:p>
    <w:p>
      <w:pPr>
        <w:pStyle w:val="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实验目的和要求</w:t>
      </w:r>
    </w:p>
    <w:p>
      <w:pPr>
        <w:numPr>
          <w:ilvl w:val="0"/>
          <w:numId w:val="0"/>
        </w:numPr>
      </w:pPr>
      <w:r>
        <w:rPr>
          <w:lang w:val="en-US"/>
        </w:rPr>
        <w:t>1、掌握测定噬菌体效价的实验原理；</w:t>
      </w:r>
    </w:p>
    <w:p>
      <w:pPr>
        <w:numPr>
          <w:ilvl w:val="0"/>
          <w:numId w:val="0"/>
        </w:numPr>
      </w:pPr>
      <w:r>
        <w:rPr>
          <w:lang w:val="en-US"/>
        </w:rPr>
        <w:t>2、掌握双层琼脂法测定噬菌体效价的方法；</w:t>
      </w:r>
    </w:p>
    <w:p>
      <w:pPr>
        <w:numPr>
          <w:ilvl w:val="0"/>
          <w:numId w:val="0"/>
        </w:numPr>
      </w:pPr>
      <w:r>
        <w:rPr>
          <w:lang w:val="en-US"/>
        </w:rPr>
        <w:t>3、主要方法及概念</w:t>
      </w:r>
      <w:r>
        <w:rPr>
          <w:rFonts w:hint="eastAsia"/>
          <w:lang w:val="en-US" w:eastAsia="zh-CN"/>
        </w:rPr>
        <w:t>：</w:t>
      </w:r>
      <w:r>
        <w:rPr>
          <w:lang w:val="en-US"/>
        </w:rPr>
        <w:t>二元培养法；负菌落；效价测定；双层琼脂法。</w:t>
      </w:r>
    </w:p>
    <w:p>
      <w:pPr>
        <w:pStyle w:val="7"/>
        <w:numPr>
          <w:ilvl w:val="0"/>
          <w:numId w:val="1"/>
        </w:numPr>
        <w:bidi w:val="0"/>
      </w:pPr>
      <w:r>
        <w:rPr>
          <w:rFonts w:hint="eastAsia"/>
          <w:lang w:eastAsia="zh-CN"/>
        </w:rPr>
        <w:t>实验原理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  <w:lang w:eastAsia="zh-CN"/>
        </w:rPr>
        <w:t>噬菌体效价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噬菌体的效价是指</w:t>
      </w:r>
      <w:r>
        <w:rPr>
          <w:rStyle w:val="11"/>
          <w:rFonts w:hint="default"/>
          <w:lang w:val="en-US" w:eastAsia="zh-CN"/>
        </w:rPr>
        <w:t>1mL</w:t>
      </w:r>
      <w:r>
        <w:rPr>
          <w:rStyle w:val="11"/>
          <w:rFonts w:hint="eastAsia"/>
          <w:lang w:val="en-US" w:eastAsia="zh-CN"/>
        </w:rPr>
        <w:t>培养液中含侵染性的噬菌体粒子数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测定噬菌体效价的方法有：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1.ELISA法：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利用抗体对噬菌体衣壳蛋白的特异性识别，通过测定衣壳蛋白的浓度反应噬菌体的效价。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Style w:val="10"/>
          <w:rFonts w:hint="eastAsia"/>
          <w:lang w:val="en-US" w:eastAsia="zh-CN"/>
        </w:rPr>
        <w:t>ELISA检测到的不一定是有侵染活性的噬菌体！</w:t>
      </w:r>
      <w:r>
        <w:rPr>
          <w:rFonts w:hint="eastAsia"/>
          <w:lang w:val="en-US" w:eastAsia="zh-CN"/>
        </w:rPr>
        <w:t>首先，变形的蛋白也可以和抗体发生特异性反应；其次，要使ELISA灵敏度高，则应该用抗体检测噬菌体的主要衣壳蛋白，但是介导噬菌体侵染过程的不一定是主要的衣壳蛋白；最后，噬菌体就算成功侵染，其核酸也可能被细菌的免疫系统（限制酶、CRISPR）切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2.噬菌斑测定法：</w:t>
      </w:r>
    </w:p>
    <w:p>
      <w:pPr>
        <w:numPr>
          <w:ilvl w:val="0"/>
          <w:numId w:val="0"/>
        </w:numPr>
        <w:ind w:firstLine="420" w:firstLineChars="200"/>
      </w:pPr>
      <w:r>
        <w:rPr>
          <w:rFonts w:hint="eastAsia"/>
          <w:lang w:val="en-US" w:eastAsia="zh-CN"/>
        </w:rPr>
        <w:t>根据噬菌体对其宿主细胞的裂解，在含有敏感菌株的平板上出现肉眼可见的噬菌斑，说明有噬菌体存在。一般，一个噬菌体粒子形成一个噬菌斑，故可根据一定体积的噬菌体培养液所出现的噬菌斑数，从而计算出噬菌体的效价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注意：理论上一个噬菌体粒子应形成一个噬菌斑，但可能有</w:t>
      </w:r>
      <w:r>
        <w:rPr>
          <w:rStyle w:val="10"/>
          <w:rFonts w:hint="eastAsia"/>
          <w:lang w:val="en-US" w:eastAsia="zh-CN"/>
        </w:rPr>
        <w:t>少数活噬菌体未引起侵染</w:t>
      </w:r>
      <w:r>
        <w:rPr>
          <w:rFonts w:hint="eastAsia"/>
          <w:lang w:val="en-US" w:eastAsia="zh-CN"/>
        </w:rPr>
        <w:t>，噬菌斑计数结果往往比实际活噬菌体数</w:t>
      </w:r>
      <w:r>
        <w:rPr>
          <w:rStyle w:val="10"/>
          <w:rFonts w:hint="eastAsia"/>
          <w:lang w:val="en-US" w:eastAsia="zh-CN"/>
        </w:rPr>
        <w:t>偏低</w:t>
      </w:r>
      <w:r>
        <w:rPr>
          <w:rFonts w:hint="eastAsia"/>
          <w:lang w:val="en-US" w:eastAsia="zh-CN"/>
        </w:rPr>
        <w:t>。为了准确表达噬菌体悬液的效价，一般不用噬菌体粒子的绝对数量，而是采用</w:t>
      </w:r>
      <w:r>
        <w:rPr>
          <w:rStyle w:val="11"/>
          <w:rFonts w:hint="eastAsia"/>
          <w:lang w:val="en-US" w:eastAsia="zh-CN"/>
        </w:rPr>
        <w:t>噬斑形成单位(pfu)</w:t>
      </w:r>
      <w:r>
        <w:rPr>
          <w:rFonts w:hint="eastAsia"/>
          <w:lang w:val="en-US" w:eastAsia="zh-CN"/>
        </w:rPr>
        <w:t>表示。</w:t>
      </w:r>
    </w:p>
    <w:p>
      <w:pPr>
        <w:numPr>
          <w:ilvl w:val="0"/>
          <w:numId w:val="0"/>
        </w:numPr>
      </w:pPr>
    </w:p>
    <w:p>
      <w:pPr>
        <w:pStyle w:val="12"/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eastAsia="zh-CN"/>
        </w:rPr>
        <w:t>双层琼脂法测定噬菌体效价</w:t>
      </w:r>
    </w:p>
    <w:p>
      <w:pPr>
        <w:pStyle w:val="12"/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以一定量的经系列稀释的噬菌体悬液分别与</w:t>
      </w:r>
      <w:r>
        <w:rPr>
          <w:rStyle w:val="11"/>
          <w:rFonts w:hint="eastAsia"/>
          <w:lang w:val="en-US" w:eastAsia="zh-CN"/>
        </w:rPr>
        <w:t>高浓度的敏感菌悬液</w:t>
      </w:r>
      <w:r>
        <w:rPr>
          <w:rFonts w:hint="eastAsia"/>
          <w:lang w:val="en-US" w:eastAsia="zh-CN"/>
        </w:rPr>
        <w:t>以及</w:t>
      </w:r>
      <w:r>
        <w:rPr>
          <w:rStyle w:val="11"/>
          <w:rFonts w:hint="eastAsia"/>
          <w:lang w:val="en-US" w:eastAsia="zh-CN"/>
        </w:rPr>
        <w:t>半固体</w:t>
      </w:r>
      <w:r>
        <w:rPr>
          <w:rFonts w:hint="eastAsia"/>
          <w:lang w:val="en-US" w:eastAsia="zh-CN"/>
        </w:rPr>
        <w:t>营养琼脂均匀混合后，涂布在已铺有较高浓度的营养琼脂的平板上，经过孵育后，在延伸成片的细菌菌苔上出现分散的单个噬菌斑。因噬菌斑数目与加入样品中的有感染性的噬菌体颗粒数量成正比，统计噬菌斑数目后可计算出噬菌体悬液效价，并以PFU/mL表示。</w:t>
      </w:r>
    </w:p>
    <w:p>
      <w:pPr>
        <w:pStyle w:val="12"/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  <w:lang w:eastAsia="zh-CN"/>
        </w:rPr>
        <w:t>主要方法及概念</w:t>
      </w:r>
    </w:p>
    <w:p>
      <w:pPr>
        <w:pStyle w:val="12"/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1.二元培养法：病毒式严格活细胞内寄生生物，无法纯培养，必须将其与敏感的宿主细胞共同培养，即二元培养法。</w:t>
      </w:r>
    </w:p>
    <w:p>
      <w:pPr>
        <w:pStyle w:val="12"/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2.负菌落：噬菌体侵染细菌细胞，导致寄主细胞溶解死亡，因而在琼脂培养基表面形成的空斑。即噬菌体在菌苔上形成的噬菌斑。</w:t>
      </w:r>
    </w:p>
    <w:p>
      <w:pPr>
        <w:pStyle w:val="7"/>
        <w:numPr>
          <w:ilvl w:val="0"/>
          <w:numId w:val="1"/>
        </w:numPr>
        <w:bidi w:val="0"/>
      </w:pPr>
      <w:r>
        <w:rPr>
          <w:rFonts w:hint="eastAsia"/>
          <w:lang w:eastAsia="zh-CN"/>
        </w:rPr>
        <w:t>实验步骤</w:t>
      </w:r>
    </w:p>
    <w:p>
      <w:pPr>
        <w:numPr>
          <w:ilvl w:val="0"/>
          <w:numId w:val="0"/>
        </w:numPr>
      </w:pPr>
      <w:r>
        <w:rPr>
          <w:lang w:val="en-US"/>
        </w:rPr>
        <w:t>1、往无菌平皿中倒入10mL左右融化的LB固体培养基，冷却凝固待用；</w:t>
      </w:r>
    </w:p>
    <w:p>
      <w:pPr>
        <w:numPr>
          <w:ilvl w:val="0"/>
          <w:numId w:val="0"/>
        </w:numPr>
      </w:pPr>
      <w:r>
        <w:rPr>
          <w:lang w:val="en-US"/>
        </w:rPr>
        <w:t>2、使用LB液体培养基对噬菌体浓缩液(10-4)进行梯度稀释，得到合适浓度的稀释液10-8、10-9、10-10（噬菌斑的个数不超过几百个为宜）；</w:t>
      </w:r>
    </w:p>
    <w:p>
      <w:pPr>
        <w:numPr>
          <w:ilvl w:val="0"/>
          <w:numId w:val="0"/>
        </w:numPr>
      </w:pPr>
      <w:r>
        <w:rPr>
          <w:lang w:val="en-US"/>
        </w:rPr>
        <w:t>3、在一无菌1mL离心管中加入0.5mL敏感菌（处于对数生长期前期）和0.05mL噬菌体</w:t>
      </w:r>
    </w:p>
    <w:p>
      <w:pPr>
        <w:numPr>
          <w:ilvl w:val="0"/>
          <w:numId w:val="0"/>
        </w:numPr>
      </w:pPr>
      <w:r>
        <w:rPr>
          <w:lang w:val="en-US"/>
        </w:rPr>
        <w:t>稀释液，</w:t>
      </w:r>
      <w:r>
        <w:rPr>
          <w:rStyle w:val="11"/>
          <w:lang w:val="en-US"/>
        </w:rPr>
        <w:t>振荡混匀</w:t>
      </w:r>
      <w:r>
        <w:rPr>
          <w:lang w:val="en-US"/>
        </w:rPr>
        <w:t>，室温下放置几分钟；用移液器将噬菌体和敏感菌的混合液转移到上层培养基上；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）敏感菌的准备是关键，需要处于</w:t>
      </w:r>
      <w:r>
        <w:rPr>
          <w:rStyle w:val="10"/>
          <w:rFonts w:hint="eastAsia"/>
          <w:lang w:val="en-US" w:eastAsia="zh-CN"/>
        </w:rPr>
        <w:t>对数生长期前期</w:t>
      </w:r>
      <w:r>
        <w:rPr>
          <w:rFonts w:hint="eastAsia"/>
          <w:lang w:val="en-US" w:eastAsia="zh-CN"/>
        </w:rPr>
        <w:t>的细菌（制备</w:t>
      </w:r>
      <w:r>
        <w:rPr>
          <w:rStyle w:val="11"/>
          <w:rFonts w:hint="eastAsia"/>
          <w:lang w:val="en-US" w:eastAsia="zh-CN"/>
        </w:rPr>
        <w:t>感受态</w:t>
      </w:r>
      <w:r>
        <w:rPr>
          <w:rFonts w:hint="eastAsia"/>
          <w:lang w:val="en-US" w:eastAsia="zh-CN"/>
        </w:rPr>
        <w:t>细菌也是）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原因：衰老细菌的噬菌体相关受体可能不完整；且噬菌体需要利用宿主细胞的系统进行复制，若宿主衰老，噬菌体可能长不好，噬菌斑太小。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）</w:t>
      </w:r>
      <w:r>
        <w:rPr>
          <w:rStyle w:val="11"/>
          <w:rFonts w:hint="eastAsia"/>
          <w:lang w:val="en-US" w:eastAsia="zh-CN"/>
        </w:rPr>
        <w:t>宿主细胞的数量一定要远大于噬菌体的数量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原因：让噬菌体生长不会受到宿主数量的限制；防止宿主的免疫现象，使噬菌体的侵染不会相互干扰。</w:t>
      </w:r>
    </w:p>
    <w:p>
      <w:pPr>
        <w:numPr>
          <w:ilvl w:val="0"/>
          <w:numId w:val="0"/>
        </w:numPr>
      </w:pPr>
      <w:r>
        <w:rPr>
          <w:lang w:val="en-US"/>
        </w:rPr>
        <w:t>4、在上层培养基上迅速倒入10mL保温在50℃左右的半固体培养基，</w:t>
      </w:r>
      <w:r>
        <w:rPr>
          <w:rStyle w:val="11"/>
          <w:lang w:val="en-US"/>
        </w:rPr>
        <w:t>轻轻混合</w:t>
      </w:r>
      <w:r>
        <w:rPr>
          <w:lang w:val="en-US"/>
        </w:rPr>
        <w:t>半固体培养基、噬菌体和敏感菌的混合液，冷却凝固后置于37℃培养箱过夜培养；注意</w:t>
      </w:r>
      <w:r>
        <w:rPr>
          <w:rStyle w:val="10"/>
          <w:lang w:val="en-US"/>
        </w:rPr>
        <w:t>彻底凝固后再挪动</w:t>
      </w:r>
      <w:r>
        <w:rPr>
          <w:lang w:val="en-US"/>
        </w:rPr>
        <w:t>；</w:t>
      </w:r>
    </w:p>
    <w:p>
      <w:pPr>
        <w:numPr>
          <w:ilvl w:val="0"/>
          <w:numId w:val="0"/>
        </w:numPr>
      </w:pPr>
      <w:r>
        <w:rPr>
          <w:lang w:val="en-US"/>
        </w:rPr>
        <w:t>5、对噬菌斑进行</w:t>
      </w:r>
      <w:r>
        <w:rPr>
          <w:rFonts w:hint="eastAsia"/>
          <w:lang w:val="en-US" w:eastAsia="zh-CN"/>
        </w:rPr>
        <w:t>计数</w:t>
      </w:r>
      <w:r>
        <w:rPr>
          <w:lang w:val="en-US"/>
        </w:rPr>
        <w:t>；一般测量3个梯度的噬菌体效价，取其平均值</w:t>
      </w:r>
      <w:r>
        <w:rPr>
          <w:rFonts w:hint="eastAsia"/>
          <w:lang w:val="en-US" w:eastAsia="zh-CN"/>
        </w:rPr>
        <w:t>。</w:t>
      </w:r>
    </w:p>
    <w:p>
      <w:pPr>
        <w:pStyle w:val="7"/>
        <w:numPr>
          <w:ilvl w:val="0"/>
          <w:numId w:val="1"/>
        </w:numPr>
        <w:bidi w:val="0"/>
      </w:pPr>
      <w:r>
        <w:rPr>
          <w:rFonts w:hint="eastAsia"/>
          <w:lang w:eastAsia="zh-CN"/>
        </w:rPr>
        <w:t>实验结果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噬菌斑照片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27835" cy="1713230"/>
            <wp:effectExtent l="0" t="0" r="12065" b="1270"/>
            <wp:docPr id="1" name="图片 1" descr="e56f39e17ee626c86b274becb76e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56f39e17ee626c86b274becb76e658"/>
                    <pic:cNvPicPr>
                      <a:picLocks noChangeAspect="1"/>
                    </pic:cNvPicPr>
                  </pic:nvPicPr>
                  <pic:blipFill>
                    <a:blip r:embed="rId4">
                      <a:lum bright="6000" contrast="12000"/>
                    </a:blip>
                    <a:srcRect l="22450" t="17904" r="6740" b="29433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1323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27835" cy="1735455"/>
            <wp:effectExtent l="0" t="0" r="12065" b="4445"/>
            <wp:docPr id="2" name="图片 2" descr="936784d801192a6265238b8bf7a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36784d801192a6265238b8bf7a8168"/>
                    <pic:cNvPicPr>
                      <a:picLocks noChangeAspect="1"/>
                    </pic:cNvPicPr>
                  </pic:nvPicPr>
                  <pic:blipFill>
                    <a:blip r:embed="rId5"/>
                    <a:srcRect l="12829" t="10191" r="17772" b="37535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3545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27835" cy="1661160"/>
            <wp:effectExtent l="0" t="0" r="12065" b="2540"/>
            <wp:docPr id="3" name="图片 3" descr="c0e37c2bb605ab934271fe0af76e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0e37c2bb605ab934271fe0af76eacc"/>
                    <pic:cNvPicPr>
                      <a:picLocks noChangeAspect="1"/>
                    </pic:cNvPicPr>
                  </pic:nvPicPr>
                  <pic:blipFill>
                    <a:blip r:embed="rId6">
                      <a:lum bright="6000" contrast="18000"/>
                    </a:blip>
                    <a:srcRect l="17905" t="27525" r="10875" b="21105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66116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噬菌斑（稀释倍数10</w:t>
      </w:r>
      <w:r>
        <w:rPr>
          <w:rFonts w:hint="eastAsia"/>
          <w:vertAlign w:val="superscript"/>
          <w:lang w:val="en-US" w:eastAsia="zh-CN"/>
        </w:rPr>
        <w:t>8</w:t>
      </w:r>
      <w:r>
        <w:rPr>
          <w:rFonts w:hint="eastAsia"/>
          <w:vertAlign w:val="baseline"/>
          <w:lang w:val="en-US" w:eastAsia="zh-CN"/>
        </w:rPr>
        <w:t>）    噬菌斑（稀释倍数10</w:t>
      </w:r>
      <w:r>
        <w:rPr>
          <w:rFonts w:hint="eastAsia"/>
          <w:vertAlign w:val="superscript"/>
          <w:lang w:val="en-US" w:eastAsia="zh-CN"/>
        </w:rPr>
        <w:t>9</w:t>
      </w:r>
      <w:r>
        <w:rPr>
          <w:rFonts w:hint="eastAsia"/>
          <w:vertAlign w:val="baseline"/>
          <w:lang w:val="en-US" w:eastAsia="zh-CN"/>
        </w:rPr>
        <w:t>）      噬菌斑（稀释倍数10</w:t>
      </w:r>
      <w:r>
        <w:rPr>
          <w:rFonts w:hint="eastAsia"/>
          <w:vertAlign w:val="superscript"/>
          <w:lang w:val="en-US" w:eastAsia="zh-CN"/>
        </w:rPr>
        <w:t>10</w:t>
      </w:r>
      <w:r>
        <w:rPr>
          <w:rFonts w:hint="eastAsia"/>
          <w:vertAlign w:val="baseline"/>
          <w:lang w:val="en-US" w:eastAsia="zh-CN"/>
        </w:rPr>
        <w:t>）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噬菌体效价测定</w:t>
      </w:r>
    </w:p>
    <w:p>
      <w:pPr>
        <w:widowControl w:val="0"/>
        <w:numPr>
          <w:numId w:val="0"/>
        </w:numPr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稀释倍数10</w:t>
      </w:r>
      <w:r>
        <w:rPr>
          <w:rFonts w:hint="eastAsia"/>
          <w:vertAlign w:val="superscript"/>
          <w:lang w:val="en-US" w:eastAsia="zh-CN"/>
        </w:rPr>
        <w:t>8</w:t>
      </w:r>
      <w:r>
        <w:rPr>
          <w:rFonts w:hint="eastAsia"/>
          <w:vertAlign w:val="baseline"/>
          <w:lang w:val="en-US" w:eastAsia="zh-CN"/>
        </w:rPr>
        <w:t>组的噬菌斑过多，难以计数，舍去；</w:t>
      </w:r>
    </w:p>
    <w:p>
      <w:pPr>
        <w:widowControl w:val="0"/>
        <w:numPr>
          <w:numId w:val="0"/>
        </w:numPr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稀释倍数10</w:t>
      </w:r>
      <w:r>
        <w:rPr>
          <w:rFonts w:hint="eastAsia"/>
          <w:vertAlign w:val="superscript"/>
          <w:lang w:val="en-US" w:eastAsia="zh-CN"/>
        </w:rPr>
        <w:t>10</w:t>
      </w:r>
      <w:r>
        <w:rPr>
          <w:rFonts w:hint="eastAsia"/>
          <w:vertAlign w:val="baseline"/>
          <w:lang w:val="en-US" w:eastAsia="zh-CN"/>
        </w:rPr>
        <w:t>组的噬菌斑过少，误差太大，舍去；</w:t>
      </w:r>
    </w:p>
    <w:p>
      <w:pPr>
        <w:widowControl w:val="0"/>
        <w:numPr>
          <w:numId w:val="0"/>
        </w:numPr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使用稀释倍数10</w:t>
      </w:r>
      <w:r>
        <w:rPr>
          <w:rFonts w:hint="eastAsia"/>
          <w:vertAlign w:val="superscript"/>
          <w:lang w:val="en-US" w:eastAsia="zh-CN"/>
        </w:rPr>
        <w:t>9</w:t>
      </w:r>
      <w:r>
        <w:rPr>
          <w:rFonts w:hint="eastAsia"/>
          <w:vertAlign w:val="baseline"/>
          <w:lang w:val="en-US" w:eastAsia="zh-CN"/>
        </w:rPr>
        <w:t>组的噬菌斑计数，并计算噬菌体效价。</w:t>
      </w:r>
    </w:p>
    <w:p>
      <w:pPr>
        <w:widowControl w:val="0"/>
        <w:numPr>
          <w:numId w:val="0"/>
        </w:numPr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计数得：10</w:t>
      </w:r>
      <w:r>
        <w:rPr>
          <w:rFonts w:hint="eastAsia"/>
          <w:vertAlign w:val="superscript"/>
          <w:lang w:val="en-US" w:eastAsia="zh-CN"/>
        </w:rPr>
        <w:t>9</w:t>
      </w:r>
      <w:r>
        <w:rPr>
          <w:rFonts w:hint="eastAsia"/>
          <w:vertAlign w:val="baseline"/>
          <w:lang w:val="en-US" w:eastAsia="zh-CN"/>
        </w:rPr>
        <w:t>稀释组噬菌斑数量为159个</w:t>
      </w:r>
    </w:p>
    <w:p>
      <w:pPr>
        <w:widowControl w:val="0"/>
        <w:numPr>
          <w:numId w:val="0"/>
        </w:numPr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已知加入稀释液0.05mL，故噬菌体效价为159pfu</w:t>
      </w:r>
      <w:r>
        <w:rPr>
          <w:rFonts w:hint="default" w:ascii="Arial" w:hAnsi="Arial" w:cs="Arial"/>
          <w:vertAlign w:val="baseline"/>
          <w:lang w:val="en-US" w:eastAsia="zh-CN"/>
        </w:rPr>
        <w:t>×</w:t>
      </w:r>
      <w:r>
        <w:rPr>
          <w:rFonts w:hint="eastAsia"/>
          <w:vertAlign w:val="baseline"/>
          <w:lang w:val="en-US" w:eastAsia="zh-CN"/>
        </w:rPr>
        <w:t>10</w:t>
      </w:r>
      <w:r>
        <w:rPr>
          <w:rFonts w:hint="eastAsia"/>
          <w:vertAlign w:val="superscript"/>
          <w:lang w:val="en-US" w:eastAsia="zh-CN"/>
        </w:rPr>
        <w:t>9</w:t>
      </w:r>
      <w:r>
        <w:rPr>
          <w:rFonts w:hint="eastAsia"/>
          <w:vertAlign w:val="baseline"/>
          <w:lang w:val="en-US" w:eastAsia="zh-CN"/>
        </w:rPr>
        <w:t>/0.05mL=3.18</w:t>
      </w:r>
      <w:r>
        <w:rPr>
          <w:rFonts w:hint="default" w:ascii="Arial" w:hAnsi="Arial" w:cs="Arial"/>
          <w:vertAlign w:val="baseline"/>
          <w:lang w:val="en-US" w:eastAsia="zh-CN"/>
        </w:rPr>
        <w:t>×</w:t>
      </w:r>
      <w:r>
        <w:rPr>
          <w:rFonts w:hint="eastAsia"/>
          <w:vertAlign w:val="baseline"/>
          <w:lang w:val="en-US" w:eastAsia="zh-CN"/>
        </w:rPr>
        <w:t>10</w:t>
      </w:r>
      <w:r>
        <w:rPr>
          <w:rFonts w:hint="eastAsia"/>
          <w:vertAlign w:val="superscript"/>
          <w:lang w:val="en-US" w:eastAsia="zh-CN"/>
        </w:rPr>
        <w:t>12</w:t>
      </w:r>
      <w:r>
        <w:rPr>
          <w:rFonts w:hint="eastAsia"/>
          <w:vertAlign w:val="baseline"/>
          <w:lang w:val="en-US" w:eastAsia="zh-CN"/>
        </w:rPr>
        <w:t>pfu/mL</w:t>
      </w:r>
      <w:bookmarkStart w:id="0" w:name="_GoBack"/>
      <w:bookmarkEnd w:id="0"/>
    </w:p>
    <w:p>
      <w:pPr>
        <w:pStyle w:val="7"/>
        <w:numPr>
          <w:ilvl w:val="0"/>
          <w:numId w:val="1"/>
        </w:numPr>
        <w:bidi w:val="0"/>
      </w:pPr>
      <w:r>
        <w:rPr>
          <w:rFonts w:hint="eastAsia"/>
          <w:lang w:eastAsia="zh-CN"/>
        </w:rPr>
        <w:t>讨论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增值噬菌体的关键步骤是哪几步？增值结果有时噬菌体悬液效价不很高，请总结原因。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增值噬菌体的的关键步骤：（1）吸附；（2）侵入；（3）脱壳；（4）病毒大分子的合成，包括病毒基因组的表达与复制；（5）装配与释放。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效价不高的可能原因：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（1）宿主培养时间过长，不处于对数生长期早期，细胞壁上噬菌体特异性受体损伤；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噬菌体衣壳蛋白发生突变，与宿主特异性受体相互作用降低；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宿主对噬菌体产生抗性，可以在不同的步骤阻断噬菌体的增殖；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宿主和噬菌体的比例偏离最佳感染复数，噬菌体之间相互干扰；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存在一些缺损病毒的污染，干扰噬菌体的增殖。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为了提高双层琼脂法测量噬菌体效价的准确性应该注意哪些操作？根据种种迹象得知裂解液中有噬菌体，但总测不出噬菌体悬液效价，请分析原因。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噬菌体效价的准确性应注意以下几点：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实验操作为无菌操作，以免杂菌污染；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所用宿主菌应该多于噬菌体数量（最佳感染复数）且处于对数生长期早期；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稀释噬菌体时要混匀，噬菌体要与细菌混匀并在室温下孵育一段时间后再加入培养基；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</w:t>
      </w:r>
      <w:r>
        <w:rPr>
          <w:rFonts w:hint="default"/>
          <w:lang w:val="en-US" w:eastAsia="zh-CN"/>
        </w:rPr>
        <w:t>）倒平板的时候要迅速，</w:t>
      </w:r>
      <w:r>
        <w:rPr>
          <w:rFonts w:hint="eastAsia"/>
          <w:lang w:val="en-US" w:eastAsia="zh-CN"/>
        </w:rPr>
        <w:t>防止</w:t>
      </w:r>
      <w:r>
        <w:rPr>
          <w:rFonts w:hint="default"/>
          <w:lang w:val="en-US" w:eastAsia="zh-CN"/>
        </w:rPr>
        <w:t>倒得太慢会使琼脂糖凝固不均匀</w:t>
      </w:r>
      <w:r>
        <w:rPr>
          <w:rFonts w:hint="eastAsia"/>
          <w:lang w:val="en-US" w:eastAsia="zh-CN"/>
        </w:rPr>
        <w:t>，若发现琼脂温度已经较低，应该用微波炉加热后再倒平板；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</w:t>
      </w:r>
      <w:r>
        <w:rPr>
          <w:rFonts w:hint="default"/>
          <w:lang w:val="en-US" w:eastAsia="zh-CN"/>
        </w:rPr>
        <w:t>）倒</w:t>
      </w:r>
      <w:r>
        <w:rPr>
          <w:rFonts w:hint="eastAsia"/>
          <w:lang w:val="en-US" w:eastAsia="zh-CN"/>
        </w:rPr>
        <w:t>上层</w:t>
      </w:r>
      <w:r>
        <w:rPr>
          <w:rFonts w:hint="default"/>
          <w:lang w:val="en-US" w:eastAsia="zh-CN"/>
        </w:rPr>
        <w:t>培养基时要稍冷却，以免</w:t>
      </w:r>
      <w:r>
        <w:rPr>
          <w:rFonts w:hint="eastAsia"/>
          <w:lang w:val="en-US" w:eastAsia="zh-CN"/>
        </w:rPr>
        <w:t>烫死细菌，等上层半固体培养基完全凝固后再移动；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（6）倒置培养，以免水汽凝结成水滴落到培养基中，影响菌苔的生长和噬菌斑计数。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测不出噬菌体效价的可能原因：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宿主对噬菌体不敏感，宿主细胞壁缺乏噬菌体吸附及侵入必须的受体；</w:t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噬菌体稀释倍数过高，悬液中具有活性的噬菌体太少，可能未引起侵染，无法产生噬菌斑；</w:t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无菌操作不当，平板受到了污染；</w:t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噬菌体未与宿主菌进行孵育直接加入培养基；</w:t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上层琼脂温度过高，烫死宿主菌。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和单层琼脂法相比，双层琼脂法有哪些优势？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加了底层培养基后，可以是原来地面凹凸不平的培养皿的缺陷得到弥补。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所形成的全部噬菌斑都接近处于同一水平面上，每一噬菌斑的大小相近，边缘清晰，不至出现上下噬菌斑重叠的现象。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因为上层培养基为半固体培养基，琼脂较稀，故形成的噬菌斑较大，更有利于计数。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CD3B57"/>
    <w:multiLevelType w:val="singleLevel"/>
    <w:tmpl w:val="98CD3B5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0D77992"/>
    <w:multiLevelType w:val="singleLevel"/>
    <w:tmpl w:val="E0D7799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2FB2CF2"/>
    <w:multiLevelType w:val="singleLevel"/>
    <w:tmpl w:val="F2FB2CF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BF27CBE"/>
    <w:multiLevelType w:val="singleLevel"/>
    <w:tmpl w:val="FBF27CB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00000000"/>
    <w:multiLevelType w:val="multilevel"/>
    <w:tmpl w:val="00000000"/>
    <w:lvl w:ilvl="0" w:tentative="0">
      <w:start w:val="1"/>
      <w:numFmt w:val="chineseCounting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2"/>
    <w:multiLevelType w:val="multilevel"/>
    <w:tmpl w:val="00000002"/>
    <w:lvl w:ilvl="0" w:tentative="0">
      <w:start w:val="1"/>
      <w:numFmt w:val="chineseCounting"/>
      <w:lvlText w:val="（%1）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2A8475F"/>
    <w:multiLevelType w:val="singleLevel"/>
    <w:tmpl w:val="02A847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C9806B0"/>
    <w:multiLevelType w:val="singleLevel"/>
    <w:tmpl w:val="4C9806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FlZjIzMmQyMjllNTBiODA2MDJmZDNlYzJmMTdmNmEifQ=="/>
  </w:docVars>
  <w:rsids>
    <w:rsidRoot w:val="00000000"/>
    <w:rsid w:val="123A47A4"/>
    <w:rsid w:val="1758155C"/>
    <w:rsid w:val="3054045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Arial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4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5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6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7">
    <w:name w:val="heading 9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9">
    <w:name w:val="Default Paragraph Font"/>
    <w:qFormat/>
    <w:uiPriority w:val="1"/>
  </w:style>
  <w:style w:type="table" w:default="1" w:styleId="8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重点"/>
    <w:basedOn w:val="9"/>
    <w:uiPriority w:val="0"/>
    <w:rPr>
      <w:rFonts w:hint="eastAsia" w:ascii="Times New Roman" w:hAnsi="Times New Roman"/>
      <w:b/>
      <w:color w:val="FF0000"/>
      <w:sz w:val="21"/>
      <w:u w:val="wavyDouble"/>
      <w:lang w:val="en-US" w:eastAsia="zh-CN"/>
    </w:rPr>
  </w:style>
  <w:style w:type="character" w:customStyle="1" w:styleId="11">
    <w:name w:val="作业用重点"/>
    <w:basedOn w:val="9"/>
    <w:uiPriority w:val="0"/>
    <w:rPr>
      <w:rFonts w:hint="eastAsia" w:ascii="Times New Roman" w:hAnsi="Times New Roman"/>
      <w:b/>
      <w:sz w:val="21"/>
      <w:u w:val="words"/>
      <w:lang w:val="en-US" w:eastAsia="zh-CN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Words>2086</Words>
  <Characters>2155</Characters>
  <Paragraphs>28</Paragraphs>
  <TotalTime>11</TotalTime>
  <ScaleCrop>false</ScaleCrop>
  <LinksUpToDate>false</LinksUpToDate>
  <CharactersWithSpaces>2156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2023-05-09T06:47:00Z</dcterms:created>
  <dc:creator>V2203A</dc:creator>
  <cp:lastModifiedBy>彩星、巧成拙</cp:lastModifiedBy>
  <dcterms:modified xsi:type="dcterms:W3CDTF">2023-05-30T09:26:24Z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65D04ED4E8864692A30A17D711E76367_13</vt:lpwstr>
  </property>
  <property fmtid="{D5CDD505-2E9C-101B-9397-08002B2CF9AE}" pid="3" name="KSOProductBuildVer">
    <vt:lpwstr>2052-11.1.0.14309</vt:lpwstr>
  </property>
</Properties>
</file>