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植物的生殖系统包括有性生殖（</w:t>
      </w:r>
      <w:r>
        <w:t>sexual reproduction</w:t>
      </w:r>
      <w:r>
        <w:rPr>
          <w:rFonts w:hint="eastAsia"/>
        </w:rPr>
        <w:t>）和无性生殖（</w:t>
      </w:r>
      <w:r>
        <w:t>asexual reproduction</w:t>
      </w:r>
      <w:r>
        <w:rPr>
          <w:rFonts w:hint="eastAsia"/>
        </w:rPr>
        <w:t>），有性生殖又可以简单地划分为自体受精（</w:t>
      </w:r>
      <w:r>
        <w:t>self-fertilization</w:t>
      </w:r>
      <w:r>
        <w:rPr>
          <w:rFonts w:hint="eastAsia"/>
        </w:rPr>
        <w:t>）和异体受精（</w:t>
      </w:r>
      <w:r>
        <w:t>cross-fertilization</w:t>
      </w:r>
      <w:r>
        <w:rPr>
          <w:rFonts w:hint="eastAsia"/>
        </w:rPr>
        <w:t>）[</w:t>
      </w:r>
      <w:r>
        <w:t>3]</w:t>
      </w:r>
      <w:r>
        <w:rPr>
          <w:rFonts w:hint="eastAsia"/>
        </w:rPr>
        <w:t>。</w:t>
      </w:r>
    </w:p>
    <w:p>
      <w:r>
        <w:rPr>
          <w:rFonts w:hint="eastAsia"/>
        </w:rPr>
        <w:t>自体受精，也就是自交，指的是一株植物为自己传粉并受精。植物可能有特殊的机制来保障自花传粉，如桔梗（</w:t>
      </w:r>
      <w:r>
        <w:rPr>
          <w:i/>
          <w:iCs/>
        </w:rPr>
        <w:t>Platycodon grandifloras</w:t>
      </w:r>
      <w:r>
        <w:rPr>
          <w:rFonts w:hint="eastAsia"/>
        </w:rPr>
        <w:t>）的柱头会在开花后期向沾有自身花粉的花柱弯曲[</w:t>
      </w:r>
      <w:r>
        <w:t>5]</w:t>
      </w:r>
      <w:r>
        <w:rPr>
          <w:rFonts w:hint="eastAsia"/>
        </w:rPr>
        <w:t>。在堇菜属（</w:t>
      </w:r>
      <w:r>
        <w:rPr>
          <w:rFonts w:hint="eastAsia"/>
          <w:i/>
          <w:iCs/>
        </w:rPr>
        <w:t>Viola</w:t>
      </w:r>
      <w:r>
        <w:t xml:space="preserve"> </w:t>
      </w:r>
      <w:r>
        <w:rPr>
          <w:rFonts w:hint="eastAsia"/>
        </w:rPr>
        <w:t>L.）和两型豆属（</w:t>
      </w:r>
      <w:r>
        <w:rPr>
          <w:i/>
          <w:iCs/>
        </w:rPr>
        <w:t>Amphicarpaea</w:t>
      </w:r>
      <w:r>
        <w:t xml:space="preserve"> Elliot</w:t>
      </w:r>
      <w:r>
        <w:rPr>
          <w:rFonts w:hint="eastAsia"/>
        </w:rPr>
        <w:t>）等许多植物类群中甚至发展出了闭锁花（</w:t>
      </w:r>
      <w:r>
        <w:t>cleistogamous</w:t>
      </w:r>
      <w:r>
        <w:rPr>
          <w:rFonts w:hint="eastAsia"/>
        </w:rPr>
        <w:t>），花朵完全不开放，花部结构也大为简化[</w:t>
      </w:r>
      <w:r>
        <w:t>6]</w:t>
      </w:r>
      <w:r>
        <w:rPr>
          <w:rFonts w:hint="eastAsia"/>
        </w:rPr>
        <w:t>。还有一种称作同株</w:t>
      </w:r>
      <w:r>
        <w:t>异花自交</w:t>
      </w:r>
      <w:r>
        <w:rPr>
          <w:rFonts w:hint="eastAsia"/>
        </w:rPr>
        <w:t>（</w:t>
      </w:r>
      <w:r>
        <w:t>Geitonogamy</w:t>
      </w:r>
      <w:r>
        <w:rPr>
          <w:rFonts w:hint="eastAsia"/>
        </w:rPr>
        <w:t>）的自交方式，是在一株植物不同花之间的自交。</w:t>
      </w:r>
    </w:p>
    <w:p>
      <w:pPr>
        <w:pStyle w:val="4"/>
        <w:rPr>
          <w:rFonts w:ascii="等线" w:hAnsi="等线" w:eastAsia="等线" w:cs="等线"/>
        </w:rPr>
      </w:pPr>
      <w:r>
        <w:rPr>
          <w:rFonts w:hint="eastAsia"/>
        </w:rPr>
        <w:t>异体受精，也就是异交，指的是同一物种不同植株之间的传粉。植物实现异交的形式非常多样化。雌雄异株植物是典型的异交植物，在系统发育过程中多次起源，在</w:t>
      </w:r>
      <w:r>
        <w:rPr>
          <w:rFonts w:hint="eastAsia"/>
          <w:lang w:val="en-US" w:eastAsia="zh-CN"/>
        </w:rPr>
        <w:t>克朗奎斯特</w:t>
      </w:r>
      <w:r>
        <w:rPr>
          <w:rFonts w:hint="eastAsia"/>
        </w:rPr>
        <w:t>分类系统几乎所有亚纲中都存在[</w:t>
      </w:r>
      <w:r>
        <w:t>7]</w:t>
      </w:r>
      <w:r>
        <w:rPr>
          <w:rFonts w:hint="eastAsia"/>
        </w:rPr>
        <w:t>。而雌性结构和雄性结构未完全分离的两性花植物也可以通过雌性功能和雄性功能在时间和空间上的分离来实现异交。在时间上的分离可以通过雌雄蕊异熟（</w:t>
      </w:r>
      <w:r>
        <w:t>Dichogamy</w:t>
      </w:r>
      <w:r>
        <w:rPr>
          <w:rFonts w:hint="eastAsia"/>
        </w:rPr>
        <w:t>）来实现。在空间上的分离包括雌雄蕊异长</w:t>
      </w:r>
      <w:r>
        <w:t>（Heterostyly）</w:t>
      </w:r>
      <w:r>
        <w:rPr>
          <w:rFonts w:hint="eastAsia"/>
        </w:rPr>
        <w:t>和异型花（</w:t>
      </w:r>
      <w:r>
        <w:t>Herkogamy</w:t>
      </w:r>
      <w:r>
        <w:rPr>
          <w:rFonts w:hint="eastAsia"/>
        </w:rPr>
        <w:t>），例如报春花属（</w:t>
      </w:r>
      <w:r>
        <w:rPr>
          <w:i/>
          <w:iCs/>
        </w:rPr>
        <w:t>Primula</w:t>
      </w:r>
      <w:r>
        <w:t xml:space="preserve"> L.</w:t>
      </w:r>
      <w:r>
        <w:rPr>
          <w:rFonts w:hint="eastAsia"/>
        </w:rPr>
        <w:t>）的二型花柱（</w:t>
      </w:r>
      <w:r>
        <w:t>distyly</w:t>
      </w:r>
      <w:r>
        <w:rPr>
          <w:rFonts w:hint="eastAsia"/>
        </w:rPr>
        <w:t>），千屈菜属（</w:t>
      </w:r>
      <w:r>
        <w:rPr>
          <w:rFonts w:hint="eastAsia"/>
          <w:i/>
          <w:iCs/>
        </w:rPr>
        <w:t>Lythrum</w:t>
      </w:r>
      <w:r>
        <w:t xml:space="preserve"> </w:t>
      </w:r>
      <w:r>
        <w:rPr>
          <w:rFonts w:hint="eastAsia"/>
        </w:rPr>
        <w:t>Linn.）</w:t>
      </w:r>
      <w:bookmarkStart w:id="0" w:name="_GoBack"/>
      <w:r>
        <w:rPr>
          <w:rFonts w:hint="eastAsia"/>
        </w:rPr>
        <w:t>的三型花柱（</w:t>
      </w:r>
      <w:r>
        <w:t>tristyly</w:t>
      </w:r>
      <w:r>
        <w:rPr>
          <w:rFonts w:hint="eastAsia"/>
        </w:rPr>
        <w:t>），</w:t>
      </w:r>
      <w:r>
        <w:rPr>
          <w:i/>
          <w:iCs/>
        </w:rPr>
        <w:t>Monochoria australasica</w:t>
      </w:r>
      <w:r>
        <w:rPr>
          <w:rFonts w:hint="eastAsia"/>
        </w:rPr>
        <w:t>的镜像花柱（</w:t>
      </w:r>
      <w:r>
        <w:t>Enantiostyly</w:t>
      </w:r>
      <w:r>
        <w:rPr>
          <w:rFonts w:hint="eastAsia"/>
        </w:rPr>
        <w:t>）[</w:t>
      </w:r>
      <w:r>
        <w:t>4]</w:t>
      </w:r>
      <w:r>
        <w:rPr>
          <w:rFonts w:hint="eastAsia"/>
        </w:rPr>
        <w:t>[</w:t>
      </w:r>
      <w:r>
        <w:t>6]</w:t>
      </w:r>
      <w:r>
        <w:rPr>
          <w:rFonts w:hint="eastAsia"/>
        </w:rPr>
        <w:t>。而在传</w:t>
      </w:r>
      <w:bookmarkEnd w:id="0"/>
      <w:r>
        <w:rPr>
          <w:rFonts w:hint="eastAsia"/>
        </w:rPr>
        <w:t>粉后则有</w:t>
      </w:r>
      <w:r>
        <w:t>自交不亲和（Self-incompatibility</w:t>
      </w:r>
      <w:r>
        <w:rPr>
          <w:rFonts w:hint="eastAsia" w:ascii="等线" w:hAnsi="等线" w:eastAsia="等线" w:cs="等线"/>
        </w:rPr>
        <w:t>，</w:t>
      </w:r>
      <w:r>
        <w:t>SI</w:t>
      </w:r>
      <w:r>
        <w:rPr>
          <w:rFonts w:hint="eastAsia"/>
        </w:rPr>
        <w:t>）</w:t>
      </w:r>
      <w:r>
        <w:t>机制</w:t>
      </w:r>
      <w:r>
        <w:rPr>
          <w:rFonts w:hint="eastAsia"/>
        </w:rPr>
        <w:t>，可以通过花粉萌发受阻、花粉管生长抑制等方式来阻止相同基因型的花粉受精，这通常被认为是比前述的雌雄蕊异长、雌雄蕊异熟更加保险的机制[</w:t>
      </w:r>
      <w:r>
        <w:t>1]</w:t>
      </w:r>
      <w:r>
        <w:rPr>
          <w:rFonts w:hint="eastAsia"/>
        </w:rPr>
        <w:t>。然而在许多具有雌雄蕊异长机制的植物中也存在自交不亲和，因而人们认为前者可能是为了</w:t>
      </w:r>
      <w:r>
        <w:t>提高植物个体间花粉散布的精确性来增加雄性交配效率</w:t>
      </w:r>
      <w:r>
        <w:rPr>
          <w:rFonts w:hint="eastAsia"/>
        </w:rPr>
        <w:t>，而不是传统上认为的保证胚珠接受异交花粉。这也提示我们在研究花部特征不能仅仅只从雌性功能（自交异交的比例、种子数等）的角度来考虑问题[</w:t>
      </w:r>
      <w:r>
        <w:t>2][4]</w:t>
      </w:r>
      <w:r>
        <w:rPr>
          <w:rFonts w:hint="eastAsia"/>
        </w:rPr>
        <w:t>。</w:t>
      </w:r>
    </w:p>
    <w:p>
      <w:r>
        <w:rPr>
          <w:rFonts w:hint="eastAsia"/>
        </w:rPr>
        <w:t>需要注意的是，植物界中的自交和异交不是两个完全分离的性状，而是一种连续的变异，尤其是在虫媒植物中（图</w:t>
      </w:r>
      <w:r>
        <w:t>1</w:t>
      </w:r>
      <w:r>
        <w:rPr>
          <w:rFonts w:hint="eastAsia"/>
        </w:rPr>
        <w:t>）[</w:t>
      </w:r>
      <w:r>
        <w:t>4]</w:t>
      </w:r>
      <w:r>
        <w:rPr>
          <w:rFonts w:hint="eastAsia"/>
        </w:rPr>
        <w:t>，例如前面提及的桔梗柱头弯曲就是在雌蕊柱头接收外来花粉后进行的，而早开堇菜的闭锁花与开放花的比例也会随环境而变化。另外无论是风媒植物还是虫媒植物，为了提高</w:t>
      </w:r>
      <w:r>
        <w:t>异交花粉输出量而无法避免</w:t>
      </w:r>
      <w:r>
        <w:rPr>
          <w:rFonts w:hint="eastAsia"/>
        </w:rPr>
        <w:t>地会导致同株异花自交出现[</w:t>
      </w:r>
      <w:r>
        <w:t>1]</w:t>
      </w:r>
      <w:r>
        <w:rPr>
          <w:rFonts w:hint="eastAsia"/>
        </w:rPr>
        <w:t>。</w:t>
      </w:r>
    </w:p>
    <w:p>
      <w:r>
        <w:drawing>
          <wp:inline distT="0" distB="0" distL="0" distR="0">
            <wp:extent cx="5273040" cy="3375660"/>
            <wp:effectExtent l="0" t="0" r="3810" b="0"/>
            <wp:docPr id="946372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72927" name="图片 1"/>
                    <pic:cNvPicPr>
                      <a:picLocks noChangeAspect="1"/>
                    </pic:cNvPicPr>
                  </pic:nvPicPr>
                  <pic:blipFill>
                    <a:blip r:embed="rId4"/>
                    <a:stretch>
                      <a:fillRect/>
                    </a:stretch>
                  </pic:blipFill>
                  <pic:spPr>
                    <a:xfrm>
                      <a:off x="0" y="0"/>
                      <a:ext cx="5273497" cy="3375953"/>
                    </a:xfrm>
                    <a:prstGeom prst="rect">
                      <a:avLst/>
                    </a:prstGeom>
                  </pic:spPr>
                </pic:pic>
              </a:graphicData>
            </a:graphic>
          </wp:inline>
        </w:drawing>
      </w:r>
    </w:p>
    <w:p/>
    <w:p>
      <w:r>
        <w:t>[1]何亚平,刘建全.植物繁育系统研究的最新进展和评述[J].植物生态学报,2003(02):151-163.</w:t>
      </w:r>
    </w:p>
    <w:p>
      <w:r>
        <w:t xml:space="preserve">[2]张大勇,姜新华.植物交配系统的进化、资源分配对策与遗传多样性[J].植物生态学报,2001(02):130-143. </w:t>
      </w:r>
    </w:p>
    <w:p>
      <w:r>
        <w:t>[3]王崇云,党承林.植物的交配系统及其进化机制与种群适应[J].武汉植物学研究,1999(02):163-172.</w:t>
      </w:r>
    </w:p>
    <w:p>
      <w:r>
        <w:rPr>
          <w:rFonts w:ascii="Segoe UI" w:hAnsi="Segoe UI" w:cs="Segoe UI"/>
          <w:color w:val="212121"/>
          <w:shd w:val="clear" w:color="auto" w:fill="FFFFFF"/>
        </w:rPr>
        <w:t>[4]Barrett SC. The evolution of plant sexual diversity. Nat Rev Genet. 2002 Apr;3(4):274-84.</w:t>
      </w:r>
    </w:p>
    <w:p>
      <w:r>
        <w:t>[5]刘朝辉,许会敏.桔梗花——奇妙的传粉特征[J].生命世界,2021,No.377(03):54-63.</w:t>
      </w:r>
    </w:p>
    <w:p>
      <w:r>
        <w:t>[6</w:t>
      </w:r>
      <w:r>
        <w:rPr>
          <w:rFonts w:hint="eastAsia"/>
        </w:rPr>
        <w:t>]中国植物志编辑委员会</w:t>
      </w:r>
      <w:r>
        <w:t>.中国植物志.</w:t>
      </w:r>
      <w:r>
        <w:rPr>
          <w:rFonts w:hint="eastAsia"/>
        </w:rPr>
        <w:t>科</w:t>
      </w:r>
      <w:r>
        <w:t>学出版社</w:t>
      </w:r>
      <w:r>
        <w:rPr>
          <w:rFonts w:hint="eastAsia"/>
        </w:rPr>
        <w:t>,1</w:t>
      </w:r>
      <w:r>
        <w:t>995.</w:t>
      </w:r>
    </w:p>
    <w:p>
      <w:r>
        <w:rPr>
          <w:rFonts w:hint="eastAsia"/>
        </w:rPr>
        <w:t>[</w:t>
      </w:r>
      <w:r>
        <w:t>7] Monica A. Geber, Todd E. Dawson, Lynda F. Delph. Gender and sexual dimorphism in flowering plants. Springer-Verlag Berlin Heidelberg. 1999.</w:t>
      </w:r>
    </w:p>
    <w:p/>
    <w:p/>
    <w:p>
      <w:r>
        <w:rPr>
          <w:rFonts w:hint="eastAsia"/>
        </w:rPr>
        <w:t>PPT上可以展示的图</w:t>
      </w:r>
    </w:p>
    <w:p>
      <w:r>
        <w:drawing>
          <wp:inline distT="0" distB="0" distL="0" distR="0">
            <wp:extent cx="5274310" cy="3962400"/>
            <wp:effectExtent l="0" t="0" r="2540" b="0"/>
            <wp:docPr id="849979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9023" name="图片 1"/>
                    <pic:cNvPicPr>
                      <a:picLocks noChangeAspect="1"/>
                    </pic:cNvPicPr>
                  </pic:nvPicPr>
                  <pic:blipFill>
                    <a:blip r:embed="rId5"/>
                    <a:stretch>
                      <a:fillRect/>
                    </a:stretch>
                  </pic:blipFill>
                  <pic:spPr>
                    <a:xfrm>
                      <a:off x="0" y="0"/>
                      <a:ext cx="5274310" cy="3962400"/>
                    </a:xfrm>
                    <a:prstGeom prst="rect">
                      <a:avLst/>
                    </a:prstGeom>
                  </pic:spPr>
                </pic:pic>
              </a:graphicData>
            </a:graphic>
          </wp:inline>
        </w:drawing>
      </w:r>
      <w:r>
        <w:drawing>
          <wp:inline distT="0" distB="0" distL="0" distR="0">
            <wp:extent cx="2506980" cy="5113020"/>
            <wp:effectExtent l="0" t="0" r="7620" b="0"/>
            <wp:docPr id="1135058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726" name="图片 1"/>
                    <pic:cNvPicPr>
                      <a:picLocks noChangeAspect="1"/>
                    </pic:cNvPicPr>
                  </pic:nvPicPr>
                  <pic:blipFill>
                    <a:blip r:embed="rId6"/>
                    <a:stretch>
                      <a:fillRect/>
                    </a:stretch>
                  </pic:blipFill>
                  <pic:spPr>
                    <a:xfrm>
                      <a:off x="0" y="0"/>
                      <a:ext cx="2507197" cy="5113463"/>
                    </a:xfrm>
                    <a:prstGeom prst="rect">
                      <a:avLst/>
                    </a:prstGeom>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956050"/>
            <wp:effectExtent l="0" t="0" r="2540" b="6350"/>
            <wp:docPr id="1300394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4467"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5274310" cy="3956050"/>
            <wp:effectExtent l="0" t="0" r="2540" b="6350"/>
            <wp:docPr id="636769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92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5274310" cy="7030085"/>
            <wp:effectExtent l="0" t="0" r="2540" b="0"/>
            <wp:docPr id="1439071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1991"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7030085"/>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
      <w:r>
        <w:drawing>
          <wp:inline distT="0" distB="0" distL="0" distR="0">
            <wp:extent cx="2263140" cy="3863340"/>
            <wp:effectExtent l="0" t="0" r="3810" b="3810"/>
            <wp:docPr id="1161266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6840" name="图片 1"/>
                    <pic:cNvPicPr>
                      <a:picLocks noChangeAspect="1"/>
                    </pic:cNvPicPr>
                  </pic:nvPicPr>
                  <pic:blipFill>
                    <a:blip r:embed="rId10"/>
                    <a:stretch>
                      <a:fillRect/>
                    </a:stretch>
                  </pic:blipFill>
                  <pic:spPr>
                    <a:xfrm>
                      <a:off x="0" y="0"/>
                      <a:ext cx="2263336" cy="3863675"/>
                    </a:xfrm>
                    <a:prstGeom prst="rect">
                      <a:avLst/>
                    </a:prstGeom>
                  </pic:spPr>
                </pic:pic>
              </a:graphicData>
            </a:graphic>
          </wp:inline>
        </w:drawing>
      </w:r>
      <w:r>
        <w:drawing>
          <wp:inline distT="0" distB="0" distL="0" distR="0">
            <wp:extent cx="4130040" cy="2628900"/>
            <wp:effectExtent l="0" t="0" r="3810" b="0"/>
            <wp:docPr id="292384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4178" name="图片 1"/>
                    <pic:cNvPicPr>
                      <a:picLocks noChangeAspect="1"/>
                    </pic:cNvPicPr>
                  </pic:nvPicPr>
                  <pic:blipFill>
                    <a:blip r:embed="rId11"/>
                    <a:stretch>
                      <a:fillRect/>
                    </a:stretch>
                  </pic:blipFill>
                  <pic:spPr>
                    <a:xfrm>
                      <a:off x="0" y="0"/>
                      <a:ext cx="4130398" cy="2629128"/>
                    </a:xfrm>
                    <a:prstGeom prst="rect">
                      <a:avLst/>
                    </a:prstGeom>
                  </pic:spPr>
                </pic:pic>
              </a:graphicData>
            </a:graphic>
          </wp:inline>
        </w:drawing>
      </w:r>
    </w:p>
    <w:p>
      <w:r>
        <w:drawing>
          <wp:inline distT="0" distB="0" distL="0" distR="0">
            <wp:extent cx="5274310" cy="2679700"/>
            <wp:effectExtent l="0" t="0" r="2540" b="6350"/>
            <wp:docPr id="1063168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8257" name="图片 1"/>
                    <pic:cNvPicPr>
                      <a:picLocks noChangeAspect="1"/>
                    </pic:cNvPicPr>
                  </pic:nvPicPr>
                  <pic:blipFill>
                    <a:blip r:embed="rId12"/>
                    <a:stretch>
                      <a:fillRect/>
                    </a:stretch>
                  </pic:blipFill>
                  <pic:spPr>
                    <a:xfrm>
                      <a:off x="0" y="0"/>
                      <a:ext cx="5274310" cy="2679700"/>
                    </a:xfrm>
                    <a:prstGeom prst="rect">
                      <a:avLst/>
                    </a:prstGeom>
                  </pic:spPr>
                </pic:pic>
              </a:graphicData>
            </a:graphic>
          </wp:inline>
        </w:drawing>
      </w:r>
    </w:p>
    <w:p/>
    <w:p>
      <w:r>
        <w:rPr>
          <w:rFonts w:hint="eastAsia"/>
        </w:rPr>
        <w:t>可能有用文献</w:t>
      </w:r>
    </w:p>
    <w:p>
      <w:pPr>
        <w:rPr>
          <w:rFonts w:ascii="Segoe UI" w:hAnsi="Segoe UI" w:cs="Segoe UI"/>
          <w:color w:val="212121"/>
          <w:shd w:val="clear" w:color="auto" w:fill="FFFFFF"/>
        </w:rPr>
      </w:pPr>
      <w:r>
        <w:rPr>
          <w:rFonts w:ascii="Segoe UI" w:hAnsi="Segoe UI" w:cs="Segoe UI"/>
          <w:color w:val="212121"/>
          <w:shd w:val="clear" w:color="auto" w:fill="FFFFFF"/>
        </w:rPr>
        <w:t>[4]Vogler DW, Kalisz S. Sex among the flowers: the distribution of plant mating systems. Evolution. 2001 Jan;55(1):202-4. doi: 10.1111/j.0014-3820.2001.tb01285.x. PMID: 11263740.</w:t>
      </w:r>
    </w:p>
    <w:p>
      <w:pPr>
        <w:rPr>
          <w:rFonts w:ascii="Segoe UI" w:hAnsi="Segoe UI" w:cs="Segoe UI"/>
          <w:color w:val="212121"/>
          <w:shd w:val="clear" w:color="auto" w:fill="FFFFFF"/>
        </w:rPr>
      </w:pPr>
      <w:r>
        <w:rPr>
          <w:rFonts w:hint="eastAsia" w:ascii="Segoe UI" w:hAnsi="Segoe UI" w:cs="Segoe UI"/>
          <w:color w:val="212121"/>
          <w:shd w:val="clear" w:color="auto" w:fill="FFFFFF"/>
        </w:rPr>
        <w:t>交配系统的分布</w:t>
      </w:r>
    </w:p>
    <w:p>
      <w:r>
        <w:rPr>
          <w:rFonts w:hint="eastAsia"/>
        </w:rPr>
        <w:t>雄蕊级联运动</w:t>
      </w:r>
    </w:p>
    <w:p>
      <w:r>
        <w:t>[7]任明迅.两性花的雄蕊运动:多样性和适应意义[J].植物生态学报,2010,34(07):867-875</w:t>
      </w:r>
    </w:p>
    <w:p>
      <w:pPr>
        <w:rPr>
          <w:rFonts w:ascii="Segoe UI" w:hAnsi="Segoe UI" w:cs="Segoe UI"/>
          <w:color w:val="212121"/>
          <w:shd w:val="clear" w:color="auto" w:fill="FFFFFF"/>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4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FlZjIzMmQyMjllNTBiODA2MDJmZDNlYzJmMTdmNmEifQ=="/>
  </w:docVars>
  <w:rsids>
    <w:rsidRoot w:val="00573993"/>
    <w:rsid w:val="000F0391"/>
    <w:rsid w:val="00183B76"/>
    <w:rsid w:val="001A4253"/>
    <w:rsid w:val="001E1128"/>
    <w:rsid w:val="001F6D88"/>
    <w:rsid w:val="002E5F74"/>
    <w:rsid w:val="0033460E"/>
    <w:rsid w:val="003805E8"/>
    <w:rsid w:val="003A24EC"/>
    <w:rsid w:val="005576BE"/>
    <w:rsid w:val="00573993"/>
    <w:rsid w:val="005B4BFB"/>
    <w:rsid w:val="006B492D"/>
    <w:rsid w:val="007F3D8E"/>
    <w:rsid w:val="007F4822"/>
    <w:rsid w:val="00814302"/>
    <w:rsid w:val="00833075"/>
    <w:rsid w:val="009232A1"/>
    <w:rsid w:val="00957E85"/>
    <w:rsid w:val="009F4E37"/>
    <w:rsid w:val="00A225AF"/>
    <w:rsid w:val="00A44939"/>
    <w:rsid w:val="00A5074E"/>
    <w:rsid w:val="00AE7CB8"/>
    <w:rsid w:val="00B009AD"/>
    <w:rsid w:val="00C55744"/>
    <w:rsid w:val="00C82E6B"/>
    <w:rsid w:val="00CA2C5F"/>
    <w:rsid w:val="00D312C8"/>
    <w:rsid w:val="00D55069"/>
    <w:rsid w:val="00D857A6"/>
    <w:rsid w:val="00DF53B3"/>
    <w:rsid w:val="00E12417"/>
    <w:rsid w:val="00E3064F"/>
    <w:rsid w:val="00F01B85"/>
    <w:rsid w:val="00FA5F2F"/>
    <w:rsid w:val="047C5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1110</Words>
  <Characters>1804</Characters>
  <Lines>13</Lines>
  <Paragraphs>3</Paragraphs>
  <TotalTime>815</TotalTime>
  <ScaleCrop>false</ScaleCrop>
  <LinksUpToDate>false</LinksUpToDate>
  <CharactersWithSpaces>1865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2023-05-17T05:45:00Z</dcterms:created>
  <dc:creator>NK</dc:creator>
  <cp:lastModifiedBy>彩星、巧成拙</cp:lastModifiedBy>
  <dcterms:modified xsi:type="dcterms:W3CDTF">2023-05-21T04:13:40Z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AEFDB2C8FB404CB38C600C17700BAA19_12</vt:lpwstr>
  </property>
</Properties>
</file>