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18"/>
          <w:szCs w:val="18"/>
          <w:lang w:val="en-US" w:eastAsia="zh-CN"/>
        </w:rPr>
      </w:pPr>
      <w:r>
        <w:rPr>
          <w:rFonts w:hint="eastAsia"/>
          <w:sz w:val="18"/>
          <w:szCs w:val="18"/>
          <w:lang w:val="en-US" w:eastAsia="zh-CN"/>
        </w:rPr>
        <w:t>遗传学Mid-term assay</w:t>
      </w:r>
    </w:p>
    <w:p>
      <w:pPr>
        <w:rPr>
          <w:rFonts w:hint="eastAsia"/>
          <w:sz w:val="18"/>
          <w:szCs w:val="18"/>
        </w:rPr>
      </w:pPr>
      <w:r>
        <w:rPr>
          <w:rFonts w:hint="eastAsia"/>
          <w:sz w:val="18"/>
          <w:szCs w:val="18"/>
          <w:lang w:val="en-US" w:eastAsia="zh-CN"/>
        </w:rPr>
        <w:t>选题：</w:t>
      </w:r>
      <w:r>
        <w:rPr>
          <w:rFonts w:hint="eastAsia"/>
          <w:sz w:val="18"/>
          <w:szCs w:val="18"/>
        </w:rPr>
        <w:t xml:space="preserve">Q4. Polyglutamine (PolyQ)-related diseases are dominant genetic disorders that lead to </w:t>
      </w:r>
    </w:p>
    <w:p>
      <w:pPr>
        <w:rPr>
          <w:rFonts w:hint="eastAsia"/>
          <w:sz w:val="18"/>
          <w:szCs w:val="18"/>
        </w:rPr>
      </w:pPr>
      <w:r>
        <w:rPr>
          <w:rFonts w:hint="eastAsia"/>
          <w:sz w:val="18"/>
          <w:szCs w:val="18"/>
        </w:rPr>
        <w:t xml:space="preserve">progressive neurodegeneration. In addition to Huntington’s Disease, there are 8 other polyQ </w:t>
      </w:r>
    </w:p>
    <w:p>
      <w:pPr>
        <w:rPr>
          <w:rFonts w:hint="eastAsia"/>
          <w:sz w:val="18"/>
          <w:szCs w:val="18"/>
        </w:rPr>
      </w:pPr>
      <w:r>
        <w:rPr>
          <w:rFonts w:hint="eastAsia"/>
          <w:sz w:val="18"/>
          <w:szCs w:val="18"/>
        </w:rPr>
        <w:t xml:space="preserve">disorders. Why it is polyQ but not expansion of other amino acids that cause neuronal toxicity </w:t>
      </w:r>
    </w:p>
    <w:p>
      <w:pPr>
        <w:rPr>
          <w:rFonts w:hint="eastAsia"/>
          <w:sz w:val="18"/>
          <w:szCs w:val="18"/>
        </w:rPr>
      </w:pPr>
      <w:r>
        <w:rPr>
          <w:rFonts w:hint="eastAsia"/>
          <w:sz w:val="18"/>
          <w:szCs w:val="18"/>
        </w:rPr>
        <w:t>and neurodegeneration?</w:t>
      </w:r>
    </w:p>
    <w:p>
      <w:pPr>
        <w:rPr>
          <w:rFonts w:hint="eastAsia"/>
          <w:sz w:val="18"/>
          <w:szCs w:val="18"/>
          <w:lang w:val="en-US" w:eastAsia="zh-CN"/>
        </w:rPr>
      </w:pPr>
      <w:r>
        <w:rPr>
          <w:sz w:val="18"/>
          <w:szCs w:val="18"/>
          <w:u w:val="single"/>
        </w:rPr>
        <w:drawing>
          <wp:anchor distT="0" distB="0" distL="114300" distR="114300" simplePos="0" relativeHeight="251659264" behindDoc="0" locked="0" layoutInCell="1" allowOverlap="1">
            <wp:simplePos x="0" y="0"/>
            <wp:positionH relativeFrom="column">
              <wp:posOffset>4526280</wp:posOffset>
            </wp:positionH>
            <wp:positionV relativeFrom="paragraph">
              <wp:posOffset>201295</wp:posOffset>
            </wp:positionV>
            <wp:extent cx="567055" cy="953135"/>
            <wp:effectExtent l="0" t="0" r="4445" b="1206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7055" cy="953135"/>
                    </a:xfrm>
                    <a:prstGeom prst="rect">
                      <a:avLst/>
                    </a:prstGeom>
                    <a:noFill/>
                    <a:ln>
                      <a:noFill/>
                    </a:ln>
                  </pic:spPr>
                </pic:pic>
              </a:graphicData>
            </a:graphic>
          </wp:anchor>
        </w:drawing>
      </w:r>
      <w:r>
        <w:rPr>
          <w:rFonts w:hint="eastAsia"/>
          <w:sz w:val="18"/>
          <w:szCs w:val="18"/>
          <w:lang w:val="en-US" w:eastAsia="zh-CN"/>
        </w:rPr>
        <w:t>在</w:t>
      </w:r>
      <w:r>
        <w:rPr>
          <w:rFonts w:hint="eastAsia"/>
          <w:b/>
          <w:bCs/>
          <w:sz w:val="18"/>
          <w:szCs w:val="18"/>
          <w:lang w:val="en-US" w:eastAsia="zh-CN"/>
        </w:rPr>
        <w:t>细胞和蛋白质</w:t>
      </w:r>
      <w:r>
        <w:rPr>
          <w:rFonts w:hint="eastAsia"/>
          <w:sz w:val="18"/>
          <w:szCs w:val="18"/>
          <w:lang w:val="en-US" w:eastAsia="zh-CN"/>
        </w:rPr>
        <w:t>层面，polyQ相关神经退行性疾病的致病与神经细胞内</w:t>
      </w:r>
      <w:r>
        <w:rPr>
          <w:rFonts w:hint="eastAsia"/>
          <w:b/>
          <w:bCs/>
          <w:sz w:val="18"/>
          <w:szCs w:val="18"/>
          <w:u w:val="single"/>
          <w:lang w:val="en-US" w:eastAsia="zh-CN"/>
        </w:rPr>
        <w:t>包涵体和聚集体的产生</w:t>
      </w:r>
      <w:r>
        <w:rPr>
          <w:rFonts w:hint="eastAsia"/>
          <w:sz w:val="18"/>
          <w:szCs w:val="18"/>
          <w:lang w:val="en-US" w:eastAsia="zh-CN"/>
        </w:rPr>
        <w:t>密切相关，超过阈值的polyQ会促进包涵体的产生，个人认为可能存在以下可能性：</w:t>
      </w:r>
    </w:p>
    <w:p>
      <w:pPr>
        <w:numPr>
          <w:ilvl w:val="0"/>
          <w:numId w:val="2"/>
        </w:numPr>
        <w:rPr>
          <w:rFonts w:hint="eastAsia"/>
          <w:sz w:val="18"/>
          <w:szCs w:val="18"/>
          <w:lang w:val="en-US" w:eastAsia="zh-CN"/>
        </w:rPr>
      </w:pPr>
      <w:r>
        <w:rPr>
          <w:rFonts w:hint="eastAsia"/>
          <w:b/>
          <w:bCs/>
          <w:sz w:val="18"/>
          <w:szCs w:val="18"/>
          <w:u w:val="single"/>
          <w:lang w:val="en-US" w:eastAsia="zh-CN"/>
        </w:rPr>
        <w:t>Gln侧链同时具有较长的疏水基团和不带电荷的亲水基团</w:t>
      </w:r>
      <w:r>
        <w:rPr>
          <w:rFonts w:hint="eastAsia"/>
          <w:sz w:val="18"/>
          <w:szCs w:val="18"/>
          <w:lang w:val="en-US" w:eastAsia="zh-CN"/>
        </w:rPr>
        <w:t>。其中较长的碳氢链可以相互产生一定的疏水相互作用，同时其亲水性的氨基可以与水形成氢键，可能有助于具有polyQ的蛋白质与细胞内其他液相组分</w:t>
      </w:r>
      <w:r>
        <w:rPr>
          <w:rFonts w:hint="eastAsia"/>
          <w:b/>
          <w:bCs/>
          <w:sz w:val="18"/>
          <w:szCs w:val="18"/>
          <w:u w:val="single"/>
          <w:lang w:val="en-US" w:eastAsia="zh-CN"/>
        </w:rPr>
        <w:t>相分离</w:t>
      </w:r>
      <w:r>
        <w:rPr>
          <w:rFonts w:hint="eastAsia"/>
          <w:sz w:val="18"/>
          <w:szCs w:val="18"/>
          <w:lang w:val="en-US" w:eastAsia="zh-CN"/>
        </w:rPr>
        <w:t>，进一步形成包涵体。</w:t>
      </w:r>
    </w:p>
    <w:p>
      <w:pPr>
        <w:numPr>
          <w:ilvl w:val="0"/>
          <w:numId w:val="0"/>
        </w:numPr>
        <w:rPr>
          <w:rFonts w:hint="default"/>
          <w:lang w:val="en-US" w:eastAsia="zh-CN"/>
        </w:rPr>
      </w:pPr>
      <w:r>
        <w:rPr>
          <w:sz w:val="18"/>
          <w:szCs w:val="18"/>
        </w:rPr>
        <w:drawing>
          <wp:anchor distT="0" distB="0" distL="114300" distR="114300" simplePos="0" relativeHeight="251661312" behindDoc="0" locked="0" layoutInCell="1" allowOverlap="1">
            <wp:simplePos x="0" y="0"/>
            <wp:positionH relativeFrom="column">
              <wp:posOffset>535940</wp:posOffset>
            </wp:positionH>
            <wp:positionV relativeFrom="paragraph">
              <wp:posOffset>396240</wp:posOffset>
            </wp:positionV>
            <wp:extent cx="419735" cy="687705"/>
            <wp:effectExtent l="0" t="0" r="12065" b="1079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9735" cy="687705"/>
                    </a:xfrm>
                    <a:prstGeom prst="rect">
                      <a:avLst/>
                    </a:prstGeom>
                    <a:noFill/>
                    <a:ln>
                      <a:noFill/>
                    </a:ln>
                  </pic:spPr>
                </pic:pic>
              </a:graphicData>
            </a:graphic>
          </wp:anchor>
        </w:drawing>
      </w:r>
      <w:r>
        <w:rPr>
          <w:sz w:val="18"/>
          <w:szCs w:val="18"/>
        </w:rPr>
        <w:drawing>
          <wp:anchor distT="0" distB="0" distL="114300" distR="114300" simplePos="0" relativeHeight="251660288" behindDoc="0" locked="0" layoutInCell="1" allowOverlap="1">
            <wp:simplePos x="0" y="0"/>
            <wp:positionH relativeFrom="column">
              <wp:posOffset>1104265</wp:posOffset>
            </wp:positionH>
            <wp:positionV relativeFrom="paragraph">
              <wp:posOffset>398145</wp:posOffset>
            </wp:positionV>
            <wp:extent cx="354330" cy="758190"/>
            <wp:effectExtent l="0" t="0" r="1270" b="38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54330" cy="758190"/>
                    </a:xfrm>
                    <a:prstGeom prst="rect">
                      <a:avLst/>
                    </a:prstGeom>
                    <a:noFill/>
                    <a:ln>
                      <a:noFill/>
                    </a:ln>
                  </pic:spPr>
                </pic:pic>
              </a:graphicData>
            </a:graphic>
          </wp:anchor>
        </w:drawing>
      </w:r>
      <w:r>
        <w:rPr>
          <w:rFonts w:hint="eastAsia"/>
          <w:sz w:val="18"/>
          <w:szCs w:val="18"/>
          <w:lang w:val="en-US" w:eastAsia="zh-CN"/>
        </w:rPr>
        <w:t>而其他常见的氨基酸侧链都无法同时具有较长的疏水基团和亲水基团，或其亲水基团带电荷，会因静电排斥而无法形成紧密结合的聚集体。</w:t>
      </w:r>
      <w:r>
        <w:rPr>
          <w:rFonts w:hint="eastAsia"/>
          <w:lang w:val="en-US" w:eastAsia="zh-CN"/>
        </w:rPr>
        <w:t xml:space="preserve">                               </w:t>
      </w:r>
      <w:r>
        <w:rPr>
          <w:rFonts w:hint="eastAsia"/>
          <w:sz w:val="13"/>
          <w:szCs w:val="13"/>
          <w:lang w:val="en-US" w:eastAsia="zh-CN"/>
        </w:rPr>
        <w:t>（Q的结构）</w:t>
      </w:r>
      <w:r>
        <w:rPr>
          <w:rFonts w:hint="eastAsia"/>
          <w:lang w:val="en-US" w:eastAsia="zh-CN"/>
        </w:rPr>
        <w:t xml:space="preserve">                                   </w:t>
      </w:r>
    </w:p>
    <w:p>
      <w:pPr>
        <w:numPr>
          <w:ilvl w:val="0"/>
          <w:numId w:val="0"/>
        </w:numPr>
        <w:rPr>
          <w:rFonts w:hint="eastAsia"/>
          <w:sz w:val="13"/>
          <w:szCs w:val="13"/>
          <w:lang w:val="en-US" w:eastAsia="zh-CN"/>
        </w:rPr>
      </w:pPr>
      <w:r>
        <w:rPr>
          <w:sz w:val="13"/>
          <w:szCs w:val="13"/>
        </w:rPr>
        <w:drawing>
          <wp:anchor distT="0" distB="0" distL="114300" distR="114300" simplePos="0" relativeHeight="251662336" behindDoc="0" locked="0" layoutInCell="1" allowOverlap="1">
            <wp:simplePos x="0" y="0"/>
            <wp:positionH relativeFrom="column">
              <wp:posOffset>-6985</wp:posOffset>
            </wp:positionH>
            <wp:positionV relativeFrom="paragraph">
              <wp:posOffset>38100</wp:posOffset>
            </wp:positionV>
            <wp:extent cx="386080" cy="678815"/>
            <wp:effectExtent l="0" t="0" r="7620" b="698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86080" cy="678815"/>
                    </a:xfrm>
                    <a:prstGeom prst="rect">
                      <a:avLst/>
                    </a:prstGeom>
                    <a:noFill/>
                    <a:ln>
                      <a:noFill/>
                    </a:ln>
                  </pic:spPr>
                </pic:pic>
              </a:graphicData>
            </a:graphic>
          </wp:anchor>
        </w:drawing>
      </w:r>
    </w:p>
    <w:p>
      <w:pPr>
        <w:numPr>
          <w:ilvl w:val="0"/>
          <w:numId w:val="0"/>
        </w:numPr>
        <w:rPr>
          <w:rFonts w:hint="default"/>
          <w:sz w:val="13"/>
          <w:szCs w:val="13"/>
          <w:lang w:val="en-US" w:eastAsia="zh-CN"/>
        </w:rPr>
      </w:pPr>
      <w:r>
        <w:rPr>
          <w:rFonts w:hint="eastAsia"/>
          <w:sz w:val="13"/>
          <w:szCs w:val="13"/>
          <w:lang w:val="en-US" w:eastAsia="zh-CN"/>
        </w:rPr>
        <w:t>（以PAM矩阵及BLOSUM矩阵中替换Q得分较高的氨基酸为例，N的侧链疏水基团较少，E和K侧链均带电荷）</w:t>
      </w:r>
    </w:p>
    <w:p>
      <w:pPr>
        <w:rPr>
          <w:rFonts w:hint="eastAsia"/>
        </w:rPr>
      </w:pPr>
    </w:p>
    <w:p>
      <w:pPr>
        <w:numPr>
          <w:ilvl w:val="0"/>
          <w:numId w:val="2"/>
        </w:numPr>
        <w:ind w:left="0" w:leftChars="0" w:firstLine="0" w:firstLineChars="0"/>
        <w:rPr>
          <w:rFonts w:hint="eastAsia"/>
          <w:sz w:val="18"/>
          <w:szCs w:val="18"/>
          <w:lang w:val="en-US" w:eastAsia="zh-CN"/>
        </w:rPr>
      </w:pPr>
      <w:r>
        <w:rPr>
          <w:rFonts w:ascii="宋体" w:hAnsi="宋体" w:eastAsia="宋体" w:cs="宋体"/>
          <w:sz w:val="18"/>
          <w:szCs w:val="18"/>
        </w:rPr>
        <w:drawing>
          <wp:anchor distT="0" distB="0" distL="114300" distR="114300" simplePos="0" relativeHeight="251663360" behindDoc="0" locked="0" layoutInCell="1" allowOverlap="1">
            <wp:simplePos x="0" y="0"/>
            <wp:positionH relativeFrom="column">
              <wp:posOffset>3639820</wp:posOffset>
            </wp:positionH>
            <wp:positionV relativeFrom="paragraph">
              <wp:posOffset>520065</wp:posOffset>
            </wp:positionV>
            <wp:extent cx="2117725" cy="1638935"/>
            <wp:effectExtent l="0" t="0" r="3175" b="12065"/>
            <wp:wrapSquare wrapText="bothSides"/>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2117725" cy="1638935"/>
                    </a:xfrm>
                    <a:prstGeom prst="rect">
                      <a:avLst/>
                    </a:prstGeom>
                    <a:noFill/>
                    <a:ln w="9525">
                      <a:noFill/>
                    </a:ln>
                  </pic:spPr>
                </pic:pic>
              </a:graphicData>
            </a:graphic>
          </wp:anchor>
        </w:drawing>
      </w:r>
      <w:r>
        <w:rPr>
          <w:rFonts w:hint="eastAsia"/>
          <w:b/>
          <w:bCs/>
          <w:sz w:val="18"/>
          <w:szCs w:val="18"/>
          <w:u w:val="single"/>
          <w:lang w:val="en-US" w:eastAsia="zh-CN"/>
        </w:rPr>
        <w:t>谷氨酰胺转氨酶（TG）特异性催化Gln与Lys的不可逆共价交联，进一步促进细胞内蛋白质聚集体及包涵体的形成</w:t>
      </w:r>
      <w:r>
        <w:rPr>
          <w:rFonts w:hint="eastAsia"/>
          <w:sz w:val="18"/>
          <w:szCs w:val="18"/>
          <w:lang w:val="en-US" w:eastAsia="zh-CN"/>
        </w:rPr>
        <w:t>。TG广泛存在于动物组织，是动物中</w:t>
      </w:r>
      <w:r>
        <w:rPr>
          <w:rFonts w:hint="eastAsia"/>
          <w:b/>
          <w:bCs/>
          <w:sz w:val="18"/>
          <w:szCs w:val="18"/>
          <w:u w:val="single"/>
          <w:lang w:val="en-US" w:eastAsia="zh-CN"/>
        </w:rPr>
        <w:t>重要的交联酶</w:t>
      </w:r>
      <w:r>
        <w:rPr>
          <w:rFonts w:hint="eastAsia"/>
          <w:sz w:val="18"/>
          <w:szCs w:val="18"/>
          <w:lang w:val="en-US" w:eastAsia="zh-CN"/>
        </w:rPr>
        <w:t>，其中TG6在中枢神经系统中高表达，且在HD动物模型中发现TG6与mHTT蛋白共沉淀，在高表达TG6的脑区如olfactory tubercle和piriform cortex中产生大量mHTT聚集体</w:t>
      </w:r>
      <w:r>
        <w:rPr>
          <w:rFonts w:hint="eastAsia"/>
          <w:sz w:val="18"/>
          <w:szCs w:val="18"/>
          <w:vertAlign w:val="superscript"/>
          <w:lang w:val="en-US" w:eastAsia="zh-CN"/>
        </w:rPr>
        <w:t>[1]</w:t>
      </w:r>
      <w:r>
        <w:rPr>
          <w:rFonts w:hint="eastAsia"/>
          <w:sz w:val="18"/>
          <w:szCs w:val="18"/>
          <w:vertAlign w:val="baseline"/>
          <w:lang w:val="en-US" w:eastAsia="zh-CN"/>
        </w:rPr>
        <w:t>。</w:t>
      </w:r>
      <w:r>
        <w:rPr>
          <w:rFonts w:hint="eastAsia"/>
          <w:sz w:val="18"/>
          <w:szCs w:val="18"/>
          <w:lang w:val="en-US" w:eastAsia="zh-CN"/>
        </w:rPr>
        <w:t>由于TG酶的</w:t>
      </w:r>
      <w:r>
        <w:rPr>
          <w:rFonts w:hint="eastAsia"/>
          <w:b/>
          <w:bCs/>
          <w:sz w:val="18"/>
          <w:szCs w:val="18"/>
          <w:u w:val="single"/>
          <w:lang w:val="en-US" w:eastAsia="zh-CN"/>
        </w:rPr>
        <w:t>专一性</w:t>
      </w:r>
      <w:r>
        <w:rPr>
          <w:rFonts w:hint="eastAsia"/>
          <w:sz w:val="18"/>
          <w:szCs w:val="18"/>
          <w:lang w:val="en-US" w:eastAsia="zh-CN"/>
        </w:rPr>
        <w:t>，故仅polyQ可以促进共价交联与细胞内包涵体形成。</w:t>
      </w:r>
    </w:p>
    <w:p>
      <w:pPr>
        <w:widowControl w:val="0"/>
        <w:numPr>
          <w:ilvl w:val="0"/>
          <w:numId w:val="0"/>
        </w:numPr>
        <w:jc w:val="both"/>
        <w:rPr>
          <w:rFonts w:hint="default"/>
          <w:sz w:val="13"/>
          <w:szCs w:val="13"/>
          <w:lang w:val="en-US" w:eastAsia="zh-CN"/>
        </w:rPr>
      </w:pPr>
      <w:r>
        <w:rPr>
          <w:rFonts w:hint="eastAsia"/>
          <w:sz w:val="18"/>
          <w:szCs w:val="18"/>
          <w:lang w:val="en-US" w:eastAsia="zh-CN"/>
        </w:rPr>
        <w:t>包涵体的形成具有神经细胞毒性，对细胞产生损伤。同时，包涵体还具有募集作用，可以招募细胞中的RNA、转录因子、线粒体组分、分子伴侣等不可逆地进入包涵体，导致细胞转录调控紊乱、泛素-蛋白酶体功能损伤、线粒体功能受损、神经细胞轴突运输损伤等</w:t>
      </w:r>
      <w:r>
        <w:rPr>
          <w:rFonts w:hint="eastAsia"/>
          <w:sz w:val="18"/>
          <w:szCs w:val="18"/>
          <w:vertAlign w:val="superscript"/>
          <w:lang w:val="en-US" w:eastAsia="zh-CN"/>
        </w:rPr>
        <w:t>[2]</w:t>
      </w:r>
      <w:r>
        <w:rPr>
          <w:rFonts w:hint="eastAsia"/>
          <w:sz w:val="18"/>
          <w:szCs w:val="18"/>
          <w:lang w:val="en-US" w:eastAsia="zh-CN"/>
        </w:rPr>
        <w:t xml:space="preserve">。故PolyQ而非其他氨基酸的扩增促进细胞内包涵体的形成，导致神经细胞功能紊乱甚至死亡，从而导致神经退行性疾病的发生。        </w:t>
      </w:r>
      <w:r>
        <w:rPr>
          <w:rFonts w:hint="eastAsia"/>
          <w:sz w:val="13"/>
          <w:szCs w:val="13"/>
          <w:lang w:val="en-US" w:eastAsia="zh-CN"/>
        </w:rPr>
        <w:t>（右图示包涵体的募集作用）</w:t>
      </w:r>
    </w:p>
    <w:p>
      <w:pPr>
        <w:widowControl w:val="0"/>
        <w:numPr>
          <w:ilvl w:val="0"/>
          <w:numId w:val="0"/>
        </w:numPr>
        <w:jc w:val="both"/>
        <w:rPr>
          <w:rFonts w:hint="eastAsia"/>
          <w:sz w:val="18"/>
          <w:szCs w:val="18"/>
          <w:lang w:val="en-US" w:eastAsia="zh-CN"/>
        </w:rPr>
      </w:pPr>
      <w:r>
        <w:rPr>
          <w:rFonts w:hint="eastAsia"/>
          <w:sz w:val="18"/>
          <w:szCs w:val="18"/>
          <w:lang w:val="en-US" w:eastAsia="zh-CN"/>
        </w:rPr>
        <w:t>同时，在</w:t>
      </w:r>
      <w:r>
        <w:rPr>
          <w:rFonts w:hint="eastAsia"/>
          <w:b/>
          <w:bCs/>
          <w:sz w:val="18"/>
          <w:szCs w:val="18"/>
          <w:lang w:val="en-US" w:eastAsia="zh-CN"/>
        </w:rPr>
        <w:t>基因</w:t>
      </w:r>
      <w:r>
        <w:rPr>
          <w:rFonts w:hint="eastAsia"/>
          <w:sz w:val="18"/>
          <w:szCs w:val="18"/>
          <w:lang w:val="en-US" w:eastAsia="zh-CN"/>
        </w:rPr>
        <w:t>层面，我们发现CAA及CAG密码子均编码Q，但是polyQ相关疾病均由CAG扩增导致，可能是因为我们尚未发现那些由CAA扩增导致的polyQ疾病，但也有可能是因为</w:t>
      </w:r>
      <w:r>
        <w:rPr>
          <w:rFonts w:hint="eastAsia"/>
          <w:b/>
          <w:bCs/>
          <w:sz w:val="18"/>
          <w:szCs w:val="18"/>
          <w:u w:val="single"/>
          <w:lang w:val="en-US" w:eastAsia="zh-CN"/>
        </w:rPr>
        <w:t>CAG序列本身的扩增在神经退行性疾病的发生中发挥了重要作用，而CAG恰好也编码Q</w:t>
      </w:r>
      <w:r>
        <w:rPr>
          <w:rFonts w:hint="eastAsia"/>
          <w:sz w:val="18"/>
          <w:szCs w:val="18"/>
          <w:lang w:val="en-US" w:eastAsia="zh-CN"/>
        </w:rPr>
        <w:t>。有文献研究表明，关键细胞内的</w:t>
      </w:r>
      <w:r>
        <w:rPr>
          <w:rFonts w:hint="eastAsia"/>
          <w:b/>
          <w:bCs/>
          <w:sz w:val="18"/>
          <w:szCs w:val="18"/>
          <w:lang w:val="en-US" w:eastAsia="zh-CN"/>
        </w:rPr>
        <w:t>CAG重复次数</w:t>
      </w:r>
      <w:bookmarkStart w:id="0" w:name="_GoBack"/>
      <w:bookmarkEnd w:id="0"/>
      <w:r>
        <w:rPr>
          <w:rFonts w:hint="eastAsia"/>
          <w:b/>
          <w:bCs/>
          <w:sz w:val="18"/>
          <w:szCs w:val="18"/>
          <w:lang w:val="en-US" w:eastAsia="zh-CN"/>
        </w:rPr>
        <w:t>而非polyQ重复次数所导致的细胞毒性是决定患者发病年龄的主要因素</w:t>
      </w:r>
      <w:r>
        <w:rPr>
          <w:rFonts w:hint="eastAsia"/>
          <w:sz w:val="18"/>
          <w:szCs w:val="18"/>
          <w:lang w:val="en-US" w:eastAsia="zh-CN"/>
        </w:rPr>
        <w:t>。此外，该研究还揭示DNA结构维持是调控亨廷顿病发病年龄的主要通路，该通路内的基因的SNP可能通过影响HTT基因内CAG重复序列的扩展而调控疾病发生</w:t>
      </w:r>
      <w:r>
        <w:rPr>
          <w:rFonts w:hint="eastAsia"/>
          <w:sz w:val="18"/>
          <w:szCs w:val="18"/>
          <w:vertAlign w:val="superscript"/>
          <w:lang w:val="en-US" w:eastAsia="zh-CN"/>
        </w:rPr>
        <w:t>[3]</w:t>
      </w:r>
      <w:r>
        <w:rPr>
          <w:rFonts w:hint="eastAsia"/>
          <w:sz w:val="18"/>
          <w:szCs w:val="18"/>
          <w:lang w:val="en-US" w:eastAsia="zh-CN"/>
        </w:rPr>
        <w:t>。但是为什么是CAG三核苷酸重复而非其他三核苷酸重复仍有待讨论和研究。</w:t>
      </w:r>
    </w:p>
    <w:p>
      <w:pPr>
        <w:widowControl w:val="0"/>
        <w:numPr>
          <w:ilvl w:val="0"/>
          <w:numId w:val="0"/>
        </w:numPr>
        <w:jc w:val="both"/>
        <w:rPr>
          <w:rFonts w:hint="eastAsia"/>
          <w:sz w:val="18"/>
          <w:szCs w:val="18"/>
          <w:lang w:val="en-US" w:eastAsia="zh-CN"/>
        </w:rPr>
      </w:pPr>
      <w:r>
        <w:rPr>
          <w:rFonts w:hint="eastAsia"/>
          <w:sz w:val="18"/>
          <w:szCs w:val="18"/>
          <w:lang w:val="en-US" w:eastAsia="zh-CN"/>
        </w:rPr>
        <w:t>综上，可能蛋白质中polyQ导致聚集体形成和DNA中CAG的不稳定重复共同在神经退行性疾病的发生中发挥重要作用。氨基酸残基Q本身的理化特性、谷氨酰胺转氨酶的特异性、CAG密码子的编码可能共同决定了是Q而非其他氨基酸扩增导致疾病发生。</w:t>
      </w:r>
    </w:p>
    <w:p>
      <w:pPr>
        <w:widowControl w:val="0"/>
        <w:numPr>
          <w:ilvl w:val="0"/>
          <w:numId w:val="0"/>
        </w:numPr>
        <w:jc w:val="both"/>
        <w:rPr>
          <w:rFonts w:hint="eastAsia"/>
          <w:sz w:val="18"/>
          <w:szCs w:val="18"/>
          <w:lang w:val="en-US" w:eastAsia="zh-CN"/>
        </w:rPr>
      </w:pPr>
    </w:p>
    <w:p>
      <w:pPr>
        <w:widowControl w:val="0"/>
        <w:numPr>
          <w:ilvl w:val="0"/>
          <w:numId w:val="0"/>
        </w:numPr>
        <w:jc w:val="both"/>
        <w:rPr>
          <w:rFonts w:hint="eastAsia"/>
          <w:sz w:val="15"/>
          <w:szCs w:val="15"/>
          <w:lang w:val="en-US" w:eastAsia="zh-CN"/>
        </w:rPr>
      </w:pPr>
      <w:r>
        <w:rPr>
          <w:rFonts w:hint="eastAsia"/>
          <w:sz w:val="15"/>
          <w:szCs w:val="15"/>
          <w:lang w:val="en-US" w:eastAsia="zh-CN"/>
        </w:rPr>
        <w:t>参考文献：</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[1]Anja Schulze-Krebs et al..Transglutaminase 6 Is Colocalized and Interacts with Mutant Huntingtin in Huntington Disease Rodent Animal Models[J].Int. J. Mol. Sci. 2021, 22, 8914. </w:t>
      </w:r>
    </w:p>
    <w:p>
      <w:pPr>
        <w:widowControl w:val="0"/>
        <w:numPr>
          <w:ilvl w:val="0"/>
          <w:numId w:val="0"/>
        </w:numPr>
        <w:jc w:val="both"/>
        <w:rPr>
          <w:rFonts w:hint="eastAsia"/>
          <w:sz w:val="15"/>
          <w:szCs w:val="15"/>
          <w:lang w:val="en-US" w:eastAsia="zh-CN"/>
        </w:rPr>
      </w:pPr>
      <w:r>
        <w:rPr>
          <w:rFonts w:hint="eastAsia"/>
          <w:sz w:val="15"/>
          <w:szCs w:val="15"/>
          <w:lang w:val="en-US" w:eastAsia="zh-CN"/>
        </w:rPr>
        <w:t>[2]岳宏伟,胡红雨.多聚谷氨酰胺延伸蛋白募集细胞内正常蛋白质或 RNA 的分子机制[J].Progress in Biochemistry and Biophysics</w:t>
      </w:r>
    </w:p>
    <w:p>
      <w:pPr>
        <w:widowControl w:val="0"/>
        <w:numPr>
          <w:ilvl w:val="0"/>
          <w:numId w:val="0"/>
        </w:numPr>
        <w:jc w:val="both"/>
        <w:rPr>
          <w:rFonts w:hint="eastAsia"/>
          <w:sz w:val="15"/>
          <w:szCs w:val="15"/>
          <w:lang w:val="en-US" w:eastAsia="zh-CN"/>
        </w:rPr>
      </w:pPr>
      <w:r>
        <w:rPr>
          <w:rFonts w:hint="eastAsia"/>
          <w:sz w:val="15"/>
          <w:szCs w:val="15"/>
          <w:lang w:val="en-US" w:eastAsia="zh-CN"/>
        </w:rPr>
        <w:t>2018, 45(12): 1204~1213</w:t>
      </w:r>
    </w:p>
    <w:p>
      <w:pPr>
        <w:widowControl w:val="0"/>
        <w:numPr>
          <w:ilvl w:val="0"/>
          <w:numId w:val="3"/>
        </w:numPr>
        <w:jc w:val="both"/>
        <w:rPr>
          <w:rFonts w:hint="default"/>
          <w:sz w:val="15"/>
          <w:szCs w:val="15"/>
          <w:lang w:val="en-US" w:eastAsia="zh-CN"/>
        </w:rPr>
      </w:pPr>
      <w:r>
        <w:rPr>
          <w:rFonts w:hint="eastAsia"/>
          <w:sz w:val="15"/>
          <w:szCs w:val="15"/>
          <w:lang w:val="en-US" w:eastAsia="zh-CN"/>
        </w:rPr>
        <w:t>Genetic Modifiers of Huntington</w:t>
      </w:r>
      <w:r>
        <w:rPr>
          <w:rFonts w:hint="default"/>
          <w:sz w:val="15"/>
          <w:szCs w:val="15"/>
          <w:lang w:val="en-US" w:eastAsia="zh-CN"/>
        </w:rPr>
        <w:t>’</w:t>
      </w:r>
      <w:r>
        <w:rPr>
          <w:rFonts w:hint="eastAsia"/>
          <w:sz w:val="15"/>
          <w:szCs w:val="15"/>
          <w:lang w:val="en-US" w:eastAsia="zh-CN"/>
        </w:rPr>
        <w:t>s Disease (GeM-HD) Consortium.CAG Repeat Not Polyglutamine Length Determines Timing of Huntington</w:t>
      </w:r>
      <w:r>
        <w:rPr>
          <w:rFonts w:hint="default"/>
          <w:sz w:val="15"/>
          <w:szCs w:val="15"/>
          <w:lang w:val="en-US" w:eastAsia="zh-CN"/>
        </w:rPr>
        <w:t>’</w:t>
      </w:r>
      <w:r>
        <w:rPr>
          <w:rFonts w:hint="eastAsia"/>
          <w:sz w:val="15"/>
          <w:szCs w:val="15"/>
          <w:lang w:val="en-US" w:eastAsia="zh-CN"/>
        </w:rPr>
        <w:t>s Disease Onset[J].2019, Cell,178, 887–900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1DF23B"/>
    <w:multiLevelType w:val="singleLevel"/>
    <w:tmpl w:val="B31DF23B"/>
    <w:lvl w:ilvl="0" w:tentative="0">
      <w:start w:val="1"/>
      <w:numFmt w:val="decimal"/>
      <w:lvlText w:val="%1."/>
      <w:lvlJc w:val="left"/>
      <w:pPr>
        <w:tabs>
          <w:tab w:val="left" w:pos="312"/>
        </w:tabs>
      </w:pPr>
    </w:lvl>
  </w:abstractNum>
  <w:abstractNum w:abstractNumId="1">
    <w:nsid w:val="070B5F36"/>
    <w:multiLevelType w:val="singleLevel"/>
    <w:tmpl w:val="070B5F36"/>
    <w:lvl w:ilvl="0" w:tentative="0">
      <w:start w:val="1"/>
      <w:numFmt w:val="decimal"/>
      <w:pStyle w:val="4"/>
      <w:lvlText w:val="%1."/>
      <w:lvlJc w:val="left"/>
      <w:pPr>
        <w:tabs>
          <w:tab w:val="left" w:pos="312"/>
        </w:tabs>
      </w:pPr>
    </w:lvl>
  </w:abstractNum>
  <w:abstractNum w:abstractNumId="2">
    <w:nsid w:val="3CCF519F"/>
    <w:multiLevelType w:val="singleLevel"/>
    <w:tmpl w:val="3CCF519F"/>
    <w:lvl w:ilvl="0" w:tentative="0">
      <w:start w:val="3"/>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FlZjIzMmQyMjllNTBiODA2MDJmZDNlYzJmMTdmNmEifQ=="/>
  </w:docVars>
  <w:rsids>
    <w:rsidRoot w:val="648959DA"/>
    <w:rsid w:val="0C0B7609"/>
    <w:rsid w:val="16BC7281"/>
    <w:rsid w:val="20601879"/>
    <w:rsid w:val="3F3931EB"/>
    <w:rsid w:val="459C79C1"/>
    <w:rsid w:val="47FD4385"/>
    <w:rsid w:val="5A7238F3"/>
    <w:rsid w:val="60EB1E1F"/>
    <w:rsid w:val="648959DA"/>
    <w:rsid w:val="6CCC6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样式1"/>
    <w:basedOn w:val="1"/>
    <w:next w:val="1"/>
    <w:qFormat/>
    <w:uiPriority w:val="0"/>
    <w:pPr>
      <w:numPr>
        <w:ilvl w:val="0"/>
        <w:numId w:val="1"/>
      </w:numPr>
    </w:pPr>
    <w:rPr>
      <w:rFonts w:hint="default" w:asciiTheme="minorAscii" w:hAnsiTheme="minorAscii"/>
      <w:b/>
      <w:color w:val="auto"/>
      <w14:textFill>
        <w14:gradFill>
          <w14:gsLst>
            <w14:gs w14:pos="0">
              <w14:srgbClr w14:val="FE4444"/>
            </w14:gs>
            <w14:gs w14:pos="100000">
              <w14:srgbClr w14:val="832B2B"/>
            </w14:gs>
          </w14:gsLst>
          <w14:lin w14:ang="5400000" w14:scaled="0"/>
        </w14:gradFill>
      </w14:textFill>
    </w:rPr>
  </w:style>
  <w:style w:type="character" w:customStyle="1" w:styleId="5">
    <w:name w:val="重点"/>
    <w:basedOn w:val="3"/>
    <w:uiPriority w:val="0"/>
    <w:rPr>
      <w:rFonts w:hint="eastAsia" w:ascii="Times New Roman" w:hAnsi="Times New Roman"/>
      <w:b/>
      <w:color w:val="FF0000"/>
      <w:sz w:val="21"/>
      <w:u w:val="wavyDouble"/>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1139</Words>
  <Characters>1814</Characters>
  <Lines>0</Lines>
  <Paragraphs>0</Paragraphs>
  <TotalTime>89</TotalTime>
  <ScaleCrop>false</ScaleCrop>
  <LinksUpToDate>false</LinksUpToDate>
  <CharactersWithSpaces>1981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2023-04-16T07:09:00Z</dcterms:created>
  <dc:creator>彩星、巧成拙</dc:creator>
  <cp:lastModifiedBy>彩星、巧成拙</cp:lastModifiedBy>
  <dcterms:modified xsi:type="dcterms:W3CDTF">2023-04-18T13:53:01Z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24E1E4F972F841E68DBFC8E34156C34F_11</vt:lpwstr>
  </property>
</Properties>
</file>