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ĐỊNH VÀ ĐIỀU KHOẢN DÀNH CHO NGƯỜI BÁN TIKTOK SHOP VÀ SHOPEE</w:t>
      </w:r>
    </w:p>
    <w:p>
      <w:r>
        <w:t>QUY ĐỊNH ĐIỀU KHOẢN BÁN HÀNG (SELLER TERMS) TRÊN TIKTOK SHOP VÀ SHOPEE VIỆT NAM</w:t>
      </w:r>
    </w:p>
    <w:p>
      <w:r>
        <w:t>Mục 1. Quy định về Thuế Thu nhập cá nhân (TNCN) và Thuế Giá trị gia tăng (GTGT)</w:t>
      </w:r>
    </w:p>
    <w:p>
      <w:r>
        <w:t>1. Theo Thông tư 40/2021/TT-BTC, cá nhân/hộ kinh doanh bán hàng online có doanh thu trên 100 triệu đồng/năm phải nộp thuế.</w:t>
      </w:r>
    </w:p>
    <w:p>
      <w:r>
        <w:t>2. Tỷ lệ thuế phải nộp trên doanh thu:</w:t>
      </w:r>
    </w:p>
    <w:p>
      <w:r>
        <w:t>- Thuế GTGT: 1% trên doanh thu.</w:t>
      </w:r>
    </w:p>
    <w:p>
      <w:r>
        <w:t>- Thuế TNCN: 0.5% trên doanh thu.</w:t>
      </w:r>
    </w:p>
    <w:p>
      <w:r>
        <w:t>- Tổng tỷ lệ thuế nghĩa vụ = 1.5% trên tổng doanh thu bán hàng.</w:t>
      </w:r>
    </w:p>
    <w:p>
      <w:r>
        <w:t>3. Sàn TMĐT (TikTok Shop/Shopee) có nghĩa vụ cung cấp dữ liệu doanh thu người bán cho Cơ quan Thuế và hỗ trợ khấu trừ thuế tự động theo quy định.</w:t>
      </w:r>
    </w:p>
    <w:p>
      <w:r>
        <w:t>Mục 2. Các hành vi vi phạm và hình thức xử lý vi phạm của Người bán</w:t>
      </w:r>
    </w:p>
    <w:p>
      <w:r>
        <w:t>1. Vi phạm về hàng giả, hàng nhái: Khóa gian hàng vĩnh viễn, tịch thu tiền ký quỹ và chuyển hồ sơ cho cơ quan chức năng.</w:t>
      </w:r>
    </w:p>
    <w:p>
      <w:r>
        <w:t>2. Vi phạm về kê khai thông tin doanh nghiệp/hộ kinh doanh: Tạm dừng quyền bán hàng cho đến khi cập nhật đủ thông tin Mã số thuế và Giấy phép kinh doanh.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