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ĐIỀU KHOẢN VÀ ĐIỀU KIỆN DỊCH VỤ (BẢN ĐIỀU KHOẢN CHUNG)</w:t>
      </w:r>
    </w:p>
    <w:bookmarkStart w:id="11" w:name="X6ba33cfc39552a1b81ba9815415605ead375b26"/>
    <w:p>
      <w:pPr>
        <w:pStyle w:val="Heading1"/>
      </w:pPr>
      <w:r>
        <w:t xml:space="preserve">ĐIỀU KHOẢN VÀ ĐIỀU KIỆN DỊCH VỤ (BẢN ĐIỀU KHOẢN CHUNG)</w:t>
      </w:r>
    </w:p>
    <w:bookmarkStart w:id="9" w:name="X2fd743f8b3d7eac1803fbb3ecdc747ba23c192b"/>
    <w:p>
      <w:pPr>
        <w:pStyle w:val="Heading3"/>
      </w:pPr>
      <w:r>
        <w:t xml:space="preserve">Điều khoản và điều kiện chung áp dụng cho toàn bộ dịch vụ</w:t>
      </w:r>
    </w:p>
    <w:p>
      <w:pPr>
        <w:pStyle w:val="FirstParagraph"/>
      </w:pPr>
      <w:r>
        <w:rPr>
          <w:b/>
          <w:bCs/>
        </w:rPr>
        <w:t xml:space="preserve">Công ty Cổ phần oBacker</w:t>
      </w:r>
      <w:r>
        <w:t xml:space="preserve"> </w:t>
      </w:r>
      <w:r>
        <w:t xml:space="preserve">· MST: 0402298185 · contact@obacker.com · www.obacker.com</w:t>
      </w:r>
      <w:r>
        <w:t xml:space="preserve"> </w:t>
      </w:r>
      <w:r>
        <w:t xml:space="preserve">Trụ sở chính: Tầng 2, 06 Trần Phú, Phường Hải Châu, Thành phố Đà Nẵng · VP HCM: 15 Hoàng Kế Viêm, P. Bảy Hiền, TP.HCM</w:t>
      </w:r>
    </w:p>
    <w:p>
      <w:pPr>
        <w:pStyle w:val="BodyText"/>
      </w:pPr>
      <w:r>
        <w:rPr>
          <w:b/>
          <w:bCs/>
        </w:rPr>
        <w:t xml:space="preserve">Phiên bản:</w:t>
      </w:r>
      <w:r>
        <w:t xml:space="preserve"> </w:t>
      </w:r>
      <w:r>
        <w:t xml:space="preserve">R.1.0.0 (VI-EN) ·</w:t>
      </w:r>
      <w:r>
        <w:t xml:space="preserve"> </w:t>
      </w:r>
      <w:r>
        <w:rPr>
          <w:b/>
          <w:bCs/>
        </w:rPr>
        <w:t xml:space="preserve">Cập nhật:</w:t>
      </w:r>
      <w:r>
        <w:t xml:space="preserve"> </w:t>
      </w:r>
      <w:r>
        <w:t xml:space="preserve">21/09/2026</w:t>
      </w:r>
    </w:p>
    <w:p>
      <w:r>
        <w:pict>
          <v:rect style="width:0;height:1.5pt" o:hralign="center" o:hrstd="t" o:hr="t"/>
        </w:pict>
      </w:r>
    </w:p>
    <w:bookmarkEnd w:id="9"/>
    <w:bookmarkStart w:id="10" w:name="cấu-trúc-và-phạm-vi-tài-liệu"/>
    <w:p>
      <w:pPr>
        <w:pStyle w:val="Heading2"/>
      </w:pPr>
      <w:r>
        <w:t xml:space="preserve">Cấu trúc và phạm vi tài liệu</w:t>
      </w:r>
    </w:p>
    <w:p>
      <w:pPr>
        <w:pStyle w:val="FirstParagraph"/>
      </w:pPr>
      <w:r>
        <w:t xml:space="preserve">Tài liệu này (</w:t>
      </w:r>
      <w:r>
        <w:t xml:space="preserve">“</w:t>
      </w:r>
      <w:r>
        <w:rPr>
          <w:b/>
          <w:bCs/>
        </w:rPr>
        <w:t xml:space="preserve">Bản Điều Khoản Chung</w:t>
      </w:r>
      <w:r>
        <w:t xml:space="preserve">”</w:t>
      </w:r>
      <w:r>
        <w:t xml:space="preserve">) quy định các nguyên tắc và điều kiện áp dụng chung cho mọi Dịch Vụ mà oBacker cung cấp.</w:t>
      </w:r>
    </w:p>
    <w:p>
      <w:pPr>
        <w:pStyle w:val="BodyText"/>
      </w:pPr>
      <w:r>
        <w:t xml:space="preserve">Bản Điều Khoản Chung luôn đi kèm một</w:t>
      </w:r>
      <w:r>
        <w:t xml:space="preserve"> </w:t>
      </w:r>
      <w:r>
        <w:rPr>
          <w:b/>
          <w:bCs/>
        </w:rPr>
        <w:t xml:space="preserve">Đơn Đặt Hàng</w:t>
      </w:r>
      <w:r>
        <w:t xml:space="preserve">; tài liệu ghi rõ phạm vi dịch vụ, phí và lịch thanh toán cho từng đơn hàng. Hai tài liệu này cùng nhau tạo thành thỏa thuận đầy đủ giữa oBacker và Quý Khách. Số hợp đồng, ngày ký và thông tin của Quý Khách được ghi trong Đơn Đặt Hàng đính kèm.</w:t>
      </w:r>
    </w:p>
    <w:p>
      <w:pPr>
        <w:pStyle w:val="BodyText"/>
      </w:pPr>
      <w:r>
        <w:t xml:space="preserve">Với mỗi nhóm dịch vụ, Bản Điều Khoản Chung được bổ sung bằng một</w:t>
      </w:r>
      <w:r>
        <w:t xml:space="preserve"> </w:t>
      </w:r>
      <w:r>
        <w:rPr>
          <w:b/>
          <w:bCs/>
        </w:rPr>
        <w:t xml:space="preserve">Điều Khoản Dịch Vụ Cụ Thể</w:t>
      </w:r>
      <w:r>
        <w:t xml:space="preserve"> </w:t>
      </w:r>
      <w:r>
        <w:t xml:space="preserve">riêng: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Tài liệu</w:t>
            </w:r>
          </w:p>
        </w:tc>
        <w:tc>
          <w:tcPr/>
          <w:p>
            <w:pPr>
              <w:pStyle w:val="Compact"/>
            </w:pPr>
            <w:r>
              <w:t xml:space="preserve">Áp dụng cho</w:t>
            </w:r>
          </w:p>
        </w:tc>
      </w:tr>
      <w:tr>
        <w:tc>
          <w:tcPr/>
          <w:p>
            <w:pPr>
              <w:pStyle w:val="Compact"/>
            </w:pPr>
            <w:r>
              <w:rPr>
                <w:b/>
                <w:bCs/>
              </w:rPr>
              <w:t xml:space="preserve">PL-KT</w:t>
            </w:r>
          </w:p>
        </w:tc>
        <w:tc>
          <w:tcPr/>
          <w:p>
            <w:pPr>
              <w:pStyle w:val="Compact"/>
            </w:pPr>
            <w:r>
              <w:t xml:space="preserve">Điều Khoản Dịch Vụ Kế Toán &amp; Thuế</w:t>
            </w:r>
          </w:p>
        </w:tc>
        <w:tc>
          <w:tcPr/>
          <w:p>
            <w:pPr>
              <w:pStyle w:val="Compact"/>
            </w:pPr>
            <w:r>
              <w:t xml:space="preserve">Ghi sổ, BCTC, GTGT, TNDN, hóa đơn điện tử, thuế nhà thầu nước ngoài (FCT)</w:t>
            </w:r>
          </w:p>
        </w:tc>
      </w:tr>
      <w:tr>
        <w:tc>
          <w:tcPr/>
          <w:p>
            <w:pPr>
              <w:pStyle w:val="Compact"/>
            </w:pPr>
            <w:r>
              <w:rPr>
                <w:b/>
                <w:bCs/>
              </w:rPr>
              <w:t xml:space="preserve">PL-NS</w:t>
            </w:r>
          </w:p>
        </w:tc>
        <w:tc>
          <w:tcPr/>
          <w:p>
            <w:pPr>
              <w:pStyle w:val="Compact"/>
            </w:pPr>
            <w:r>
              <w:t xml:space="preserve">Điều Khoản Dịch Vụ Nhân Sự</w:t>
            </w:r>
          </w:p>
        </w:tc>
        <w:tc>
          <w:tcPr/>
          <w:p>
            <w:pPr>
              <w:pStyle w:val="Compact"/>
            </w:pPr>
            <w:r>
              <w:t xml:space="preserve">Tiền lương, TNCN, BHXH-BHYT-BHTN, hợp đồng lao động, báo cáo lao động</w:t>
            </w:r>
          </w:p>
        </w:tc>
      </w:tr>
      <w:tr>
        <w:tc>
          <w:tcPr/>
          <w:p>
            <w:pPr>
              <w:pStyle w:val="Compact"/>
            </w:pPr>
            <w:r>
              <w:rPr>
                <w:b/>
                <w:bCs/>
              </w:rPr>
              <w:t xml:space="preserve">PL-GP</w:t>
            </w:r>
          </w:p>
        </w:tc>
        <w:tc>
          <w:tcPr/>
          <w:p>
            <w:pPr>
              <w:pStyle w:val="Compact"/>
            </w:pPr>
            <w:r>
              <w:t xml:space="preserve">Điều Khoản Dịch Vụ Xin Giấy Phép</w:t>
            </w:r>
          </w:p>
        </w:tc>
        <w:tc>
          <w:tcPr/>
          <w:p>
            <w:pPr>
              <w:pStyle w:val="Compact"/>
            </w:pPr>
            <w:r>
              <w:t xml:space="preserve">Thủ tục cấp phép, đăng ký doanh nghiệp</w:t>
            </w:r>
          </w:p>
        </w:tc>
      </w:tr>
      <w:tr>
        <w:tc>
          <w:tcPr/>
          <w:p>
            <w:pPr>
              <w:pStyle w:val="Compact"/>
            </w:pPr>
            <w:r>
              <w:rPr>
                <w:b/>
                <w:bCs/>
              </w:rPr>
              <w:t xml:space="preserve">PL-PL</w:t>
            </w:r>
          </w:p>
        </w:tc>
        <w:tc>
          <w:tcPr/>
          <w:p>
            <w:pPr>
              <w:pStyle w:val="Compact"/>
            </w:pPr>
            <w:r>
              <w:t xml:space="preserve">Điều Khoản Dịch Vụ Pháp Lý</w:t>
            </w:r>
          </w:p>
        </w:tc>
        <w:tc>
          <w:tcPr/>
          <w:p>
            <w:pPr>
              <w:pStyle w:val="Compact"/>
            </w:pPr>
            <w:r>
              <w:t xml:space="preserve">Tư vấn pháp lý &amp; thuế, rà soát/soạn thảo hợp đồng, nghiên cứu theo yêu cầu</w:t>
            </w:r>
          </w:p>
        </w:tc>
      </w:tr>
      <w:tr>
        <w:tc>
          <w:tcPr/>
          <w:p>
            <w:pPr>
              <w:pStyle w:val="Compact"/>
            </w:pPr>
            <w:r>
              <w:t xml:space="preserve">-</w:t>
            </w:r>
          </w:p>
        </w:tc>
        <w:tc>
          <w:tcPr/>
          <w:p>
            <w:pPr>
              <w:pStyle w:val="Compact"/>
            </w:pPr>
            <w:r>
              <w:t xml:space="preserve">Điều Khoản Nạp Ví</w:t>
            </w:r>
          </w:p>
        </w:tc>
        <w:tc>
          <w:tcPr/>
          <w:p>
            <w:pPr>
              <w:pStyle w:val="Compact"/>
            </w:pPr>
            <w:r>
              <w:t xml:space="preserve">Chức năng nạp Ví trả trước</w:t>
            </w:r>
          </w:p>
        </w:tc>
      </w:tr>
    </w:tbl>
    <w:p>
      <w:pPr>
        <w:pStyle w:val="BodyText"/>
      </w:pPr>
      <w:r>
        <w:t xml:space="preserve">Cấu trúc tài liệu và thứ tự ưu tiên áp dụng được nêu tại</w:t>
      </w:r>
      <w:r>
        <w:t xml:space="preserve"> </w:t>
      </w:r>
      <w:r>
        <w:rPr>
          <w:b/>
          <w:bCs/>
        </w:rPr>
        <w:t xml:space="preserve">Điều 14</w:t>
      </w:r>
      <w:r>
        <w:t xml:space="preserve">.</w:t>
      </w:r>
    </w:p>
    <w:p>
      <w:pPr>
        <w:pStyle w:val="BodyText"/>
      </w:pPr>
      <w:r>
        <w:t xml:space="preserve">Hợp Đồng giữa oBacker và Quý Khách có hiệu lực kể từ ngày oBacker nhận được thanh toán đầu tiên từ Quý Khách.</w:t>
      </w:r>
    </w:p>
    <w:p>
      <w:r>
        <w:pict>
          <v:rect style="width:0;height:1.5pt" o:hralign="center" o:hrstd="t" o:hr="t"/>
        </w:pict>
      </w:r>
    </w:p>
    <w:bookmarkEnd w:id="10"/>
    <w:bookmarkEnd w:id="11"/>
    <w:bookmarkStart w:id="25" w:name="phần-a-điều-khoản-chung"/>
    <w:p>
      <w:pPr>
        <w:pStyle w:val="Heading1"/>
      </w:pPr>
      <w:r>
        <w:t xml:space="preserve">PHẦN A; ĐIỀU KHOẢN CHUNG</w:t>
      </w:r>
    </w:p>
    <w:bookmarkStart w:id="12" w:name="điều-1.-giải-thích-từ-ngữ"/>
    <w:p>
      <w:pPr>
        <w:pStyle w:val="Heading2"/>
      </w:pPr>
      <w:r>
        <w:t xml:space="preserve">Điều 1. Giải Thích Từ Ngữ</w:t>
      </w:r>
    </w:p>
    <w:p>
      <w:pPr>
        <w:pStyle w:val="FirstParagraph"/>
      </w:pPr>
      <w:r>
        <w:t xml:space="preserve">Trong Bản Điều Khoản Chung này, các từ ngữ sau được hiểu như sau: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Định nghĩa</w:t>
            </w:r>
          </w:p>
        </w:tc>
      </w:tr>
      <w:tr>
        <w:tc>
          <w:tcPr/>
          <w:p>
            <w:pPr>
              <w:pStyle w:val="Compact"/>
            </w:pPr>
            <w:r>
              <w:rPr>
                <w:b/>
                <w:bCs/>
              </w:rPr>
              <w:t xml:space="preserve">“Bản Điều Khoản Chung”</w:t>
            </w:r>
          </w:p>
        </w:tc>
        <w:tc>
          <w:tcPr/>
          <w:p>
            <w:pPr>
              <w:pStyle w:val="Compact"/>
            </w:pPr>
            <w:r>
              <w:t xml:space="preserve">Tài liệu Điều Khoản và Điều Kiện Dịch Vụ này.</w:t>
            </w:r>
          </w:p>
        </w:tc>
      </w:tr>
      <w:tr>
        <w:tc>
          <w:tcPr/>
          <w:p>
            <w:pPr>
              <w:pStyle w:val="Compact"/>
            </w:pPr>
            <w:r>
              <w:rPr>
                <w:b/>
                <w:bCs/>
              </w:rPr>
              <w:t xml:space="preserve">“Đơn Đặt Hàng”</w:t>
            </w:r>
          </w:p>
        </w:tc>
        <w:tc>
          <w:tcPr/>
          <w:p>
            <w:pPr>
              <w:pStyle w:val="Compact"/>
            </w:pPr>
            <w:r>
              <w:t xml:space="preserve">Đơn Hàng Dịch Vụ do oBacker phát hành, ghi rõ phạm vi dịch vụ, phí và lịch thanh toán cho từng đơn hàng cụ thể.</w:t>
            </w:r>
          </w:p>
        </w:tc>
      </w:tr>
      <w:tr>
        <w:tc>
          <w:tcPr/>
          <w:p>
            <w:pPr>
              <w:pStyle w:val="Compact"/>
            </w:pPr>
            <w:r>
              <w:rPr>
                <w:b/>
                <w:bCs/>
              </w:rPr>
              <w:t xml:space="preserve">“Điều Khoản Dịch Vụ Cụ Thể”</w:t>
            </w:r>
            <w:r>
              <w:rPr>
                <w:b/>
                <w:bCs/>
              </w:rPr>
              <w:t xml:space="preserve"> </w:t>
            </w:r>
            <w:r>
              <w:rPr>
                <w:b/>
                <w:bCs/>
              </w:rPr>
              <w:t xml:space="preserve">/</w:t>
            </w:r>
            <w:r>
              <w:rPr>
                <w:b/>
                <w:bCs/>
              </w:rPr>
              <w:t xml:space="preserve"> </w:t>
            </w:r>
            <w:r>
              <w:rPr>
                <w:b/>
                <w:bCs/>
              </w:rPr>
              <w:t xml:space="preserve">“Phụ lục”</w:t>
            </w:r>
          </w:p>
        </w:tc>
        <w:tc>
          <w:tcPr/>
          <w:p>
            <w:pPr>
              <w:pStyle w:val="Compact"/>
            </w:pPr>
            <w:r>
              <w:t xml:space="preserve">Các tài liệu PL-KT, PL-NS, PL-GP, PL-PL; là bộ phận không tách rời của Bản Điều Khoản Chung, áp dụng cho từng nhóm dịch vụ.</w:t>
            </w:r>
          </w:p>
        </w:tc>
      </w:tr>
      <w:tr>
        <w:tc>
          <w:tcPr/>
          <w:p>
            <w:pPr>
              <w:pStyle w:val="Compact"/>
            </w:pPr>
            <w:r>
              <w:rPr>
                <w:b/>
                <w:bCs/>
              </w:rPr>
              <w:t xml:space="preserve">“Hợp Đồng”</w:t>
            </w:r>
          </w:p>
        </w:tc>
        <w:tc>
          <w:tcPr/>
          <w:p>
            <w:pPr>
              <w:pStyle w:val="Compact"/>
            </w:pPr>
            <w:r>
              <w:t xml:space="preserve">Bản Điều Khoản Chung này cùng Đơn Đặt Hàng và các Điều Khoản Dịch Vụ Cụ Thể áp dụng; cùng nhau tạo thành thỏa thuận đầy đủ giữa oBacker và Quý Khách.</w:t>
            </w:r>
          </w:p>
        </w:tc>
      </w:tr>
      <w:tr>
        <w:tc>
          <w:tcPr/>
          <w:p>
            <w:pPr>
              <w:pStyle w:val="Compact"/>
            </w:pPr>
            <w:r>
              <w:rPr>
                <w:b/>
                <w:bCs/>
              </w:rPr>
              <w:t xml:space="preserve">“Dịch Vụ”</w:t>
            </w:r>
          </w:p>
        </w:tc>
        <w:tc>
          <w:tcPr/>
          <w:p>
            <w:pPr>
              <w:pStyle w:val="Compact"/>
            </w:pPr>
            <w:r>
              <w:t xml:space="preserve">Các dịch vụ oBacker cung cấp theo Hợp Đồng, được ghi rõ tại Đơn Đặt Hàng.</w:t>
            </w:r>
          </w:p>
        </w:tc>
      </w:tr>
      <w:tr>
        <w:tc>
          <w:tcPr/>
          <w:p>
            <w:pPr>
              <w:pStyle w:val="Compact"/>
            </w:pPr>
            <w:r>
              <w:rPr>
                <w:b/>
                <w:bCs/>
              </w:rPr>
              <w:t xml:space="preserve">“Phí Dịch Vụ”</w:t>
            </w:r>
          </w:p>
        </w:tc>
        <w:tc>
          <w:tcPr/>
          <w:p>
            <w:pPr>
              <w:pStyle w:val="Compact"/>
            </w:pPr>
            <w:r>
              <w:t xml:space="preserve">Khoản phí Quý Khách thanh toán cho oBacker, quy định trong Đơn Đặt Hàng.</w:t>
            </w:r>
          </w:p>
        </w:tc>
      </w:tr>
      <w:tr>
        <w:tc>
          <w:tcPr/>
          <w:p>
            <w:pPr>
              <w:pStyle w:val="Compact"/>
            </w:pPr>
            <w:r>
              <w:rPr>
                <w:b/>
                <w:bCs/>
              </w:rPr>
              <w:t xml:space="preserve">“Giao Dịch”</w:t>
            </w:r>
          </w:p>
        </w:tc>
        <w:tc>
          <w:tcPr/>
          <w:p>
            <w:pPr>
              <w:pStyle w:val="Compact"/>
            </w:pPr>
            <w:r>
              <w:t xml:space="preserve">Đơn vị đo khối lượng công việc kế toán, được định nghĩa chi tiết tại Điều 15.</w:t>
            </w:r>
          </w:p>
        </w:tc>
      </w:tr>
      <w:tr>
        <w:tc>
          <w:tcPr/>
          <w:p>
            <w:pPr>
              <w:pStyle w:val="Compact"/>
            </w:pPr>
            <w:r>
              <w:rPr>
                <w:b/>
                <w:bCs/>
              </w:rPr>
              <w:t xml:space="preserve">“Ngày Làm Việc”</w:t>
            </w:r>
          </w:p>
        </w:tc>
        <w:tc>
          <w:tcPr/>
          <w:p>
            <w:pPr>
              <w:pStyle w:val="Compact"/>
            </w:pPr>
            <w:r>
              <w:t xml:space="preserve">Các ngày từ thứ Hai đến thứ Sáu, trừ ngày lễ, tết theo quy định của pháp luật Việt Nam.</w:t>
            </w:r>
          </w:p>
        </w:tc>
      </w:tr>
      <w:tr>
        <w:tc>
          <w:tcPr/>
          <w:p>
            <w:pPr>
              <w:pStyle w:val="Compact"/>
            </w:pPr>
            <w:r>
              <w:rPr>
                <w:b/>
                <w:bCs/>
              </w:rPr>
              <w:t xml:space="preserve">“Ngày Hiệu Lực”</w:t>
            </w:r>
          </w:p>
        </w:tc>
        <w:tc>
          <w:tcPr/>
          <w:p>
            <w:pPr>
              <w:pStyle w:val="Compact"/>
            </w:pPr>
            <w:r>
              <w:t xml:space="preserve">Ngày oBacker nhận được Thanh toán Đợt 1 từ Quý Khách theo Đơn Đặt Hàng.</w:t>
            </w:r>
          </w:p>
        </w:tc>
      </w:tr>
      <w:tr>
        <w:tc>
          <w:tcPr/>
          <w:p>
            <w:pPr>
              <w:pStyle w:val="Compact"/>
            </w:pPr>
            <w:r>
              <w:rPr>
                <w:b/>
                <w:bCs/>
              </w:rPr>
              <w:t xml:space="preserve">“Thông Tin Bảo Mật”</w:t>
            </w:r>
          </w:p>
        </w:tc>
        <w:tc>
          <w:tcPr/>
          <w:p>
            <w:pPr>
              <w:pStyle w:val="Compact"/>
            </w:pPr>
            <w:r>
              <w:t xml:space="preserve">Mọi thông tin kỹ thuật, tài chính, kinh doanh, nhân sự và dữ liệu cá nhân mà một Bên nhận được từ Bên kia trong quá trình thực hiện Hợp Đồng.</w:t>
            </w:r>
          </w:p>
        </w:tc>
      </w:tr>
    </w:tbl>
    <w:p>
      <w:pPr>
        <w:pStyle w:val="BodyText"/>
      </w:pPr>
      <w:r>
        <w:rPr>
          <w:b/>
          <w:bCs/>
        </w:rPr>
        <w:t xml:space="preserve">Ưu tiên áp dụng:</w:t>
      </w:r>
      <w:r>
        <w:t xml:space="preserve"> </w:t>
      </w:r>
      <w:r>
        <w:t xml:space="preserve">Nếu Đơn Đặt Hàng và Bản Điều Khoản Chung này có điểm khác nhau, Đơn Đặt Hàng được ưu tiên áp dụng. Thứ tự ưu tiên đầy đủ nêu tại Điều 14.</w:t>
      </w:r>
    </w:p>
    <w:bookmarkEnd w:id="12"/>
    <w:bookmarkStart w:id="13" w:name="điều-2.-nguyên-tắc-phối-hợp"/>
    <w:p>
      <w:pPr>
        <w:pStyle w:val="Heading2"/>
      </w:pPr>
      <w:r>
        <w:t xml:space="preserve">Điều 2. Nguyên Tắc Phối Hợp</w:t>
      </w:r>
    </w:p>
    <w:p>
      <w:pPr>
        <w:pStyle w:val="FirstParagraph"/>
      </w:pPr>
      <w:r>
        <w:t xml:space="preserve">oBacker thực hiện Dịch Vụ trên cơ sở:</w:t>
      </w:r>
    </w:p>
    <w:p>
      <w:pPr>
        <w:pStyle w:val="Compact"/>
        <w:numPr>
          <w:ilvl w:val="0"/>
          <w:numId w:val="1001"/>
        </w:numPr>
      </w:pPr>
      <w:r>
        <w:t xml:space="preserve">Thông tin, số liệu và chứng từ do Quý Khách cung cấp; oBacker xử lý đúng theo những gì nhận được và tin tưởng vào sự trung thực của Quý Khách theo cam kết tại Điều 3</w:t>
      </w:r>
    </w:p>
    <w:p>
      <w:pPr>
        <w:pStyle w:val="Compact"/>
        <w:numPr>
          <w:ilvl w:val="0"/>
          <w:numId w:val="1001"/>
        </w:numPr>
      </w:pPr>
      <w:r>
        <w:t xml:space="preserve">Chỉ bắt đầu xử lý khi hồ sơ đã đủ theo yêu cầu của từng dịch vụ</w:t>
      </w:r>
    </w:p>
    <w:p>
      <w:pPr>
        <w:pStyle w:val="Compact"/>
        <w:numPr>
          <w:ilvl w:val="0"/>
          <w:numId w:val="1001"/>
        </w:numPr>
      </w:pPr>
      <w:r>
        <w:t xml:space="preserve">Sẵn sàng phối hợp với cơ quan nhà nước khi có yêu cầu, trong phạm vi dịch vụ đã thỏa thuận.</w:t>
      </w:r>
    </w:p>
    <w:p>
      <w:pPr>
        <w:pStyle w:val="FirstParagraph"/>
      </w:pPr>
      <w:r>
        <w:rPr>
          <w:b/>
          <w:bCs/>
        </w:rPr>
        <w:t xml:space="preserve">Đầu mối liên hệ duy nhất:</w:t>
      </w:r>
      <w:r>
        <w:t xml:space="preserve"> </w:t>
      </w:r>
      <w:r>
        <w:t xml:space="preserve">Sau khi thanh toán, mỗi Quý Khách được oBacker chỉ định một người phụ trách tài khoản làm đầu mối liên hệ duy nhất cho mọi trao đổi. Mọi yêu cầu, câu hỏi và phê duyệt của Quý Khách được gửi qua đầu mối này.</w:t>
      </w:r>
    </w:p>
    <w:bookmarkEnd w:id="13"/>
    <w:bookmarkStart w:id="14" w:name="điều-3.-cam-kết-của-quý-khách"/>
    <w:p>
      <w:pPr>
        <w:pStyle w:val="Heading2"/>
      </w:pPr>
      <w:r>
        <w:t xml:space="preserve">Điều 3. Cam Kết Của Quý Khách</w:t>
      </w:r>
    </w:p>
    <w:p>
      <w:pPr>
        <w:pStyle w:val="FirstParagraph"/>
      </w:pPr>
      <w:r>
        <w:rPr>
          <w:b/>
          <w:bCs/>
        </w:rPr>
        <w:t xml:space="preserve">3.1. Cam kết về thông tin cung cấp.</w:t>
      </w:r>
      <w:r>
        <w:t xml:space="preserve"> </w:t>
      </w:r>
      <w:r>
        <w:t xml:space="preserve">Để oBacker phục vụ tốt nhất, thông tin Quý Khách cung cấp cần đạt 4 tiêu chí;</w:t>
      </w:r>
      <w:r>
        <w:t xml:space="preserve"> </w:t>
      </w:r>
      <w:r>
        <w:rPr>
          <w:b/>
          <w:bCs/>
        </w:rPr>
        <w:t xml:space="preserve">Chính xác; Đầy đủ; Hợp pháp; Đúng hạn</w:t>
      </w:r>
      <w:r>
        <w:t xml:space="preserve">. Cụ thể, Quý Khách cam kết:</w:t>
      </w:r>
    </w:p>
    <w:p>
      <w:pPr>
        <w:pStyle w:val="Compact"/>
        <w:numPr>
          <w:ilvl w:val="0"/>
          <w:numId w:val="1002"/>
        </w:numPr>
      </w:pPr>
      <w:r>
        <w:rPr>
          <w:b/>
          <w:bCs/>
        </w:rPr>
        <w:t xml:space="preserve">Chính xác và trọn vẹn</w:t>
      </w:r>
      <w:r>
        <w:t xml:space="preserve">; không sai sót, không giả mạo, không thiếu sót có chủ ý</w:t>
      </w:r>
    </w:p>
    <w:p>
      <w:pPr>
        <w:pStyle w:val="Compact"/>
        <w:numPr>
          <w:ilvl w:val="0"/>
          <w:numId w:val="1002"/>
        </w:numPr>
      </w:pPr>
      <w:r>
        <w:rPr>
          <w:b/>
          <w:bCs/>
        </w:rPr>
        <w:t xml:space="preserve">Đầy đủ</w:t>
      </w:r>
      <w:r>
        <w:t xml:space="preserve">; gồm tất cả chứng từ, hóa đơn phát sinh; không bỏ sót giao dịch nào</w:t>
      </w:r>
    </w:p>
    <w:p>
      <w:pPr>
        <w:pStyle w:val="Compact"/>
        <w:numPr>
          <w:ilvl w:val="0"/>
          <w:numId w:val="1002"/>
        </w:numPr>
      </w:pPr>
      <w:r>
        <w:rPr>
          <w:b/>
          <w:bCs/>
        </w:rPr>
        <w:t xml:space="preserve">Hợp pháp</w:t>
      </w:r>
      <w:r>
        <w:t xml:space="preserve">; mọi giao dịch là thực tế xảy ra; chứng từ không giả mạo; không mua bán hóa đơn hay gian lận thuế</w:t>
      </w:r>
    </w:p>
    <w:p>
      <w:pPr>
        <w:pStyle w:val="Compact"/>
        <w:numPr>
          <w:ilvl w:val="0"/>
          <w:numId w:val="1002"/>
        </w:numPr>
      </w:pPr>
      <w:r>
        <w:rPr>
          <w:b/>
          <w:bCs/>
        </w:rPr>
        <w:t xml:space="preserve">Đúng hạn</w:t>
      </w:r>
      <w:r>
        <w:t xml:space="preserve">; gửi trước Ngày Chốt Số Liệu của kỳ; báo ngay nếu phát sinh bổ sung sau khi đã gửi.</w:t>
      </w:r>
    </w:p>
    <w:p>
      <w:pPr>
        <w:pStyle w:val="FirstParagraph"/>
      </w:pPr>
      <w:r>
        <w:t xml:space="preserve">Nếu phát hiện sai sót trong thông tin đã gửi, Quý Khách báo ngay để oBacker điều chỉnh.</w:t>
      </w:r>
    </w:p>
    <w:p>
      <w:pPr>
        <w:pStyle w:val="BodyText"/>
      </w:pPr>
      <w:r>
        <w:rPr>
          <w:b/>
          <w:bCs/>
        </w:rPr>
        <w:t xml:space="preserve">3.2. Lưu trữ chứng từ gốc.</w:t>
      </w:r>
      <w:r>
        <w:t xml:space="preserve"> </w:t>
      </w:r>
      <w:r>
        <w:t xml:space="preserve">Khi cơ quan nhà nước thanh tra, kiểm tra, oBacker hỗ trợ Quý Khách bằng cách cung cấp bản sao sổ sách điện tử và giải trình về số liệu đã xử lý. Song song, Quý Khách lưu trữ toàn bộ chứng từ gốc (bản giấy hoặc bản điện tử hợp lệ) và trực tiếp xuất trình, giải trình nghiệp vụ kinh tế với cơ quan nhà nước theo quy định pháp luật. oBacker lưu bản sao điện tử để phục vụ Dịch Vụ; việc lưu bản sao điện tử này</w:t>
      </w:r>
      <w:r>
        <w:t xml:space="preserve"> </w:t>
      </w:r>
      <w:r>
        <w:rPr>
          <w:b/>
          <w:bCs/>
        </w:rPr>
        <w:t xml:space="preserve">bổ sung, không thay thế</w:t>
      </w:r>
      <w:r>
        <w:t xml:space="preserve"> </w:t>
      </w:r>
      <w:r>
        <w:t xml:space="preserve">nghĩa vụ lưu trữ chứng từ gốc theo luật định của Quý Khách (Luật Kế toán số 88/2015/QH13).</w:t>
      </w:r>
    </w:p>
    <w:p>
      <w:pPr>
        <w:pStyle w:val="BodyText"/>
      </w:pPr>
      <w:r>
        <w:rPr>
          <w:b/>
          <w:bCs/>
        </w:rPr>
        <w:t xml:space="preserve">3.3. Trách nhiệm pháp lý.</w:t>
      </w:r>
      <w:r>
        <w:t xml:space="preserve"> </w:t>
      </w:r>
      <w:r>
        <w:t xml:space="preserve">Quý Khách là chủ thể kinh doanh, chịu trách nhiệm pháp lý cuối cùng đối với mọi nghĩa vụ thuế, bảo hiểm, lao động và tuân thủ pháp luật phát sinh từ hoạt động của doanh nghiệp. oBacker thực hiện đúng theo thông tin Quý Khách cung cấp; kết quả dịch vụ gắn trực tiếp với độ chính xác của thông tin đầu vào.</w:t>
      </w:r>
    </w:p>
    <w:bookmarkEnd w:id="14"/>
    <w:bookmarkStart w:id="15" w:name="điều-4.-thanh-toán-phí-dịch-vụ"/>
    <w:p>
      <w:pPr>
        <w:pStyle w:val="Heading2"/>
      </w:pPr>
      <w:r>
        <w:t xml:space="preserve">Điều 4. Thanh Toán Phí Dịch Vụ</w:t>
      </w:r>
    </w:p>
    <w:p>
      <w:pPr>
        <w:pStyle w:val="FirstParagraph"/>
      </w:pPr>
      <w:r>
        <w:rPr>
          <w:b/>
          <w:bCs/>
        </w:rPr>
        <w:t xml:space="preserve">4.1. Thời điểm và phương thức.</w:t>
      </w:r>
      <w:r>
        <w:t xml:space="preserve"> </w:t>
      </w:r>
      <w:r>
        <w:t xml:space="preserve">Quý Khách thanh toán theo lịch và phương thức ghi trong Đơn Đặt Hàng.</w:t>
      </w:r>
      <w:r>
        <w:t xml:space="preserve"> </w:t>
      </w:r>
      <w:r>
        <w:rPr>
          <w:b/>
          <w:bCs/>
        </w:rPr>
        <w:t xml:space="preserve">Mặc định, Dịch Vụ của oBacker là trả trước.</w:t>
      </w:r>
      <w:r>
        <w:t xml:space="preserve"> </w:t>
      </w:r>
      <w:r>
        <w:t xml:space="preserve">Nếu Đơn Đặt Hàng ghi nhận mô hình thanh toán khác, áp dụng theo Đơn Đặt Hàng. Ngày Hiệu Lực là ngày oBacker nhận được thanh toán đầu tiên (hoặc phí đợt 1) theo Đơn Đặt Hàng.</w:t>
      </w:r>
    </w:p>
    <w:p>
      <w:pPr>
        <w:pStyle w:val="BodyText"/>
      </w:pPr>
      <w:r>
        <w:rPr>
          <w:b/>
          <w:bCs/>
        </w:rPr>
        <w:t xml:space="preserve">4.2. Chế tài khi chậm thanh toán; phân biệt theo mô hình thanh toán.</w:t>
      </w:r>
      <w:r>
        <w:t xml:space="preserve"> </w:t>
      </w:r>
      <w:r>
        <w:t xml:space="preserve">Mô hình thanh toán của mỗi Dịch Vụ được ghi tại Đơn Đặt Hàng. Chế tài khi chậm thanh toán khác nhau tùy mô hình: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Mô hình</w:t>
            </w:r>
          </w:p>
        </w:tc>
        <w:tc>
          <w:tcPr/>
          <w:p>
            <w:pPr>
              <w:pStyle w:val="Compact"/>
            </w:pPr>
            <w:r>
              <w:t xml:space="preserve">Cách vận hành</w:t>
            </w:r>
          </w:p>
        </w:tc>
        <w:tc>
          <w:tcPr/>
          <w:p>
            <w:pPr>
              <w:pStyle w:val="Compact"/>
            </w:pPr>
            <w:r>
              <w:t xml:space="preserve">Chế tài khi chậm</w:t>
            </w:r>
          </w:p>
        </w:tc>
      </w:tr>
      <w:tr>
        <w:tc>
          <w:tcPr/>
          <w:p>
            <w:pPr>
              <w:pStyle w:val="Compact"/>
            </w:pPr>
            <w:r>
              <w:rPr>
                <w:b/>
                <w:bCs/>
              </w:rPr>
              <w:t xml:space="preserve">(a) Trả trước</w:t>
            </w:r>
            <w:r>
              <w:t xml:space="preserve"> </w:t>
            </w:r>
            <w:r>
              <w:rPr>
                <w:i/>
                <w:iCs/>
              </w:rPr>
              <w:t xml:space="preserve">(mặc định)</w:t>
            </w:r>
          </w:p>
        </w:tc>
        <w:tc>
          <w:tcPr/>
          <w:p>
            <w:pPr>
              <w:pStyle w:val="Compact"/>
            </w:pPr>
            <w:r>
              <w:t xml:space="preserve">Dịch Vụ chỉ bắt đầu/tiếp tục sau khi oBacker nhận đủ thanh toán cho kỳ hoặc đơn hàng tương ứng</w:t>
            </w:r>
          </w:p>
        </w:tc>
        <w:tc>
          <w:tcPr/>
          <w:p>
            <w:pPr>
              <w:pStyle w:val="Compact"/>
            </w:pPr>
            <w:r>
              <w:rPr>
                <w:b/>
                <w:bCs/>
              </w:rPr>
              <w:t xml:space="preserve">Không tính lãi chậm trả</w:t>
            </w:r>
            <w:r>
              <w:t xml:space="preserve"> </w:t>
            </w:r>
            <w:r>
              <w:t xml:space="preserve">(vì không phát sinh công nợ).</w:t>
            </w:r>
            <w:r>
              <w:t xml:space="preserve">Chế tài là</w:t>
            </w:r>
            <w:r>
              <w:t xml:space="preserve"> </w:t>
            </w:r>
            <w:r>
              <w:rPr>
                <w:b/>
                <w:bCs/>
              </w:rPr>
              <w:t xml:space="preserve">chưa bắt đầu hoặc tạm ngừng Dịch Vụ</w:t>
            </w:r>
            <w:r>
              <w:t xml:space="preserve"> </w:t>
            </w:r>
            <w:r>
              <w:t xml:space="preserve">cho đến khi thanh toán đầy đủ (Mục 5.3).</w:t>
            </w:r>
            <w:r>
              <w:t xml:space="preserve">Với gói định kỳ, nếu phí kỳ kế tiếp chưa thanh toán trước khi kỳ bắt đầu → oBacker có quyền tạm ngừng Dịch Vụ của kỳ đó</w:t>
            </w:r>
          </w:p>
        </w:tc>
      </w:tr>
      <w:tr>
        <w:tc>
          <w:tcPr/>
          <w:p>
            <w:pPr>
              <w:pStyle w:val="Compact"/>
            </w:pPr>
            <w:r>
              <w:rPr>
                <w:b/>
                <w:bCs/>
              </w:rPr>
              <w:t xml:space="preserve">(b) Trả sau</w:t>
            </w:r>
            <w:r>
              <w:t xml:space="preserve"> </w:t>
            </w:r>
            <w:r>
              <w:rPr>
                <w:i/>
                <w:iCs/>
              </w:rPr>
              <w:t xml:space="preserve">(chỉ khi Đơn Đặt Hàng ghi rõ)</w:t>
            </w:r>
          </w:p>
        </w:tc>
        <w:tc>
          <w:tcPr/>
          <w:p>
            <w:pPr>
              <w:pStyle w:val="Compact"/>
            </w:pPr>
            <w:r>
              <w:t xml:space="preserve">Dịch Vụ được thực hiện trước, oBacker xuất hóa đơn có ngày đến hạn, Quý Khách thanh toán sau</w:t>
            </w:r>
          </w:p>
        </w:tc>
        <w:tc>
          <w:tcPr/>
          <w:p>
            <w:pPr>
              <w:pStyle w:val="Compact"/>
            </w:pPr>
            <w:r>
              <w:rPr>
                <w:b/>
                <w:bCs/>
              </w:rPr>
              <w:t xml:space="preserve">Lãi chậm trả 0,05%/ngày</w:t>
            </w:r>
            <w:r>
              <w:t xml:space="preserve"> </w:t>
            </w:r>
            <w:r>
              <w:t xml:space="preserve">tính trên số tiền chậm, từ ngày đến hạn đến ngày trả thực tế (gồm cả hai ngày). oBacker có quyền tạm ngừng Dịch Vụ nếu chậm quá 07 ngày so với ngày đến hạn (Mục 5.3)</w:t>
            </w:r>
          </w:p>
        </w:tc>
      </w:tr>
      <w:tr>
        <w:tc>
          <w:tcPr/>
          <w:p>
            <w:pPr>
              <w:pStyle w:val="Compact"/>
            </w:pPr>
            <w:r>
              <w:rPr>
                <w:b/>
                <w:bCs/>
              </w:rPr>
              <w:t xml:space="preserve">(c) Trả trước qua Ví</w:t>
            </w:r>
          </w:p>
        </w:tc>
        <w:tc>
          <w:tcPr/>
          <w:p>
            <w:pPr>
              <w:pStyle w:val="Compact"/>
            </w:pPr>
            <w:r>
              <w:t xml:space="preserve">Phí được tự động trừ từ số dư Ví theo từng kỳ</w:t>
            </w:r>
          </w:p>
        </w:tc>
        <w:tc>
          <w:tcPr/>
          <w:p>
            <w:pPr>
              <w:pStyle w:val="Compact"/>
            </w:pPr>
            <w:r>
              <w:rPr>
                <w:b/>
                <w:bCs/>
              </w:rPr>
              <w:t xml:space="preserve">Không tính lãi chậm trả.</w:t>
            </w:r>
            <w:r>
              <w:t xml:space="preserve"> </w:t>
            </w:r>
            <w:r>
              <w:t xml:space="preserve">Nếu số dư không đủ, oBacker thông báo và có quyền tạm ngừng Dịch Vụ cho đến khi Ví được nạp đủ (xem Điều 22 và Điều Khoản Nạp Ví)</w:t>
            </w:r>
          </w:p>
        </w:tc>
      </w:tr>
    </w:tbl>
    <w:p>
      <w:pPr>
        <w:pStyle w:val="BlockText"/>
      </w:pPr>
      <w:r>
        <w:rPr>
          <w:b/>
          <w:bCs/>
        </w:rPr>
        <w:t xml:space="preserve">Lưu ý phân biệt</w:t>
      </w:r>
      <w:r>
        <w:rPr>
          <w:b/>
          <w:bCs/>
        </w:rPr>
        <w:t xml:space="preserve"> </w:t>
      </w:r>
      <w:r>
        <w:rPr>
          <w:b/>
          <w:bCs/>
        </w:rPr>
        <w:t xml:space="preserve">“phạt tiền”</w:t>
      </w:r>
      <w:r>
        <w:rPr>
          <w:b/>
          <w:bCs/>
        </w:rPr>
        <w:t xml:space="preserve">:</w:t>
      </w:r>
      <w:r>
        <w:t xml:space="preserve"> </w:t>
      </w:r>
      <w:r>
        <w:t xml:space="preserve">Lãi chậm trả 0,05%/ngày tại Mục 4.2(b) là chế tài cho việc</w:t>
      </w:r>
      <w:r>
        <w:t xml:space="preserve"> </w:t>
      </w:r>
      <w:r>
        <w:rPr>
          <w:b/>
          <w:bCs/>
        </w:rPr>
        <w:t xml:space="preserve">Quý Khách chậm trả Phí Dịch Vụ cho oBacker</w:t>
      </w:r>
      <w:r>
        <w:t xml:space="preserve"> </w:t>
      </w:r>
      <w:r>
        <w:t xml:space="preserve">(chỉ áp dụng dịch vụ trả sau). Khoản này</w:t>
      </w:r>
      <w:r>
        <w:t xml:space="preserve"> </w:t>
      </w:r>
      <w:r>
        <w:rPr>
          <w:b/>
          <w:bCs/>
        </w:rPr>
        <w:t xml:space="preserve">khác</w:t>
      </w:r>
      <w:r>
        <w:t xml:space="preserve"> </w:t>
      </w:r>
      <w:r>
        <w:t xml:space="preserve">với: (i) tiền phạt vi phạm hành chính và tiền chậm nộp thuế/BHXH do lỗi của oBacker; thuộc cơ chế bồi thường tại Điều 9; (ii) tiền chậm nộp thuế phát sinh do Quý Khách gửi chứng từ/xác nhận trễ; do Quý Khách chịu theo Điều 9 và các Điều Khoản Dịch Vụ Cụ Thể. Ba loại này độc lập với nhau.</w:t>
      </w:r>
    </w:p>
    <w:p>
      <w:pPr>
        <w:pStyle w:val="FirstParagraph"/>
      </w:pPr>
      <w:r>
        <w:rPr>
          <w:b/>
          <w:bCs/>
        </w:rPr>
        <w:t xml:space="preserve">4.3. Thành phần của Phí Dịch Vụ.</w:t>
      </w:r>
      <w:r>
        <w:t xml:space="preserve"> </w:t>
      </w:r>
      <w:r>
        <w:t xml:space="preserve">Trừ khi Đơn Đặt Hàng quy định khác, Phí Dịch Vụ đã bao gồm thuế GTGT (nếu có), phí nhà nước và phí đi lại để nộp hồ sơ,</w:t>
      </w:r>
      <w:r>
        <w:t xml:space="preserve"> </w:t>
      </w:r>
      <w:r>
        <w:rPr>
          <w:b/>
          <w:bCs/>
        </w:rPr>
        <w:t xml:space="preserve">nhưng chưa bao gồm</w:t>
      </w:r>
      <w:r>
        <w:t xml:space="preserve"> </w:t>
      </w:r>
      <w:r>
        <w:t xml:space="preserve">phí công chứng, dịch thuật. Khi phát sinh chi phí ngoài phạm vi, oBacker thông báo trước và chỉ thực hiện sau khi Quý Khách xác nhận đồng ý với phí phát sinh.</w:t>
      </w:r>
    </w:p>
    <w:p>
      <w:pPr>
        <w:pStyle w:val="BodyText"/>
      </w:pPr>
      <w:r>
        <w:rPr>
          <w:b/>
          <w:bCs/>
        </w:rPr>
        <w:t xml:space="preserve">4.4. Hóa đơn GTGT và thu hộ; chi hộ.</w:t>
      </w:r>
      <w:r>
        <w:t xml:space="preserve"> </w:t>
      </w:r>
      <w:r>
        <w:t xml:space="preserve">oBacker xuất hóa đơn GTGT theo quy định pháp luật. Nếu oBacker mua giùm dịch vụ/hàng hóa từ bên thứ ba cho Quý Khách, giao dịch được hạch toán theo phương thức</w:t>
      </w:r>
      <w:r>
        <w:t xml:space="preserve"> </w:t>
      </w:r>
      <w:r>
        <w:rPr>
          <w:b/>
          <w:bCs/>
        </w:rPr>
        <w:t xml:space="preserve">thu hộ; chi hộ</w:t>
      </w:r>
      <w:r>
        <w:t xml:space="preserve">, và bên thứ ba xuất hóa đơn trực tiếp cho Quý Khách.</w:t>
      </w:r>
    </w:p>
    <w:bookmarkEnd w:id="15"/>
    <w:bookmarkStart w:id="16" w:name="điều-5.-thực-hiện-dịch-vụ"/>
    <w:p>
      <w:pPr>
        <w:pStyle w:val="Heading2"/>
      </w:pPr>
      <w:r>
        <w:t xml:space="preserve">Điều 5. Thực Hiện Dịch Vụ</w:t>
      </w:r>
    </w:p>
    <w:p>
      <w:pPr>
        <w:pStyle w:val="FirstParagraph"/>
      </w:pPr>
      <w:r>
        <w:rPr>
          <w:b/>
          <w:bCs/>
        </w:rPr>
        <w:t xml:space="preserve">5.1. Phạm vi thực hiện.</w:t>
      </w:r>
      <w:r>
        <w:t xml:space="preserve"> </w:t>
      </w:r>
      <w:r>
        <w:t xml:space="preserve">oBacker thực hiện Dịch Vụ đúng phạm vi, điều kiện và thời hạn đã thỏa thuận trong Đơn Đặt Hàng. Các yêu cầu ngoài phạm vi có thể được thực hiện theo thỏa thuận bổ sung bằng văn bản.</w:t>
      </w:r>
    </w:p>
    <w:p>
      <w:pPr>
        <w:pStyle w:val="BodyText"/>
      </w:pPr>
      <w:r>
        <w:rPr>
          <w:b/>
          <w:bCs/>
        </w:rPr>
        <w:t xml:space="preserve">5.2. Sử dụng đối tác và bên thứ ba.</w:t>
      </w:r>
      <w:r>
        <w:t xml:space="preserve"> </w:t>
      </w:r>
      <w:r>
        <w:t xml:space="preserve">oBacker có quyền ủy quyền, chuyển giao cho các đối tác đủ năng lực, giấy phép và chứng chỉ phù hợp để thực hiện một phần công việc. oBacker vẫn chịu trách nhiệm về chất lượng dịch vụ cuối cùng.</w:t>
      </w:r>
    </w:p>
    <w:p>
      <w:pPr>
        <w:pStyle w:val="BodyText"/>
      </w:pPr>
      <w:r>
        <w:rPr>
          <w:b/>
          <w:bCs/>
        </w:rPr>
        <w:t xml:space="preserve">5.3. Tạm ngừng dịch vụ.</w:t>
      </w:r>
      <w:r>
        <w:t xml:space="preserve"> </w:t>
      </w:r>
      <w:r>
        <w:t xml:space="preserve">oBacker có thể tạm ngừng Dịch Vụ khi: (i)</w:t>
      </w:r>
      <w:r>
        <w:t xml:space="preserve"> </w:t>
      </w:r>
      <w:r>
        <w:rPr>
          <w:b/>
          <w:bCs/>
        </w:rPr>
        <w:t xml:space="preserve">với dịch vụ trả trước</w:t>
      </w:r>
      <w:r>
        <w:t xml:space="preserve">; Quý Khách chưa thanh toán phí đến hạn của kỳ/đơn hàng;</w:t>
      </w:r>
      <w:r>
        <w:t xml:space="preserve"> </w:t>
      </w:r>
      <w:r>
        <w:rPr>
          <w:b/>
          <w:bCs/>
        </w:rPr>
        <w:t xml:space="preserve">với dịch vụ trả sau</w:t>
      </w:r>
      <w:r>
        <w:t xml:space="preserve">; Quý Khách chậm thanh toán quá 07 ngày so với ngày đến hạn;</w:t>
      </w:r>
      <w:r>
        <w:t xml:space="preserve"> </w:t>
      </w:r>
      <w:r>
        <w:rPr>
          <w:b/>
          <w:bCs/>
        </w:rPr>
        <w:t xml:space="preserve">với thanh toán qua Ví</w:t>
      </w:r>
      <w:r>
        <w:t xml:space="preserve">; số dư Ví không đủ; (ii) Quý Khách chưa cung cấp thông tin, chứng từ cần thiết trong thời hạn oBacker đã thông báo bằng văn bản; (iii) có sự kiện bất khả kháng. oBacker thông báo trước tối thiểu</w:t>
      </w:r>
      <w:r>
        <w:t xml:space="preserve"> </w:t>
      </w:r>
      <w:r>
        <w:rPr>
          <w:b/>
          <w:bCs/>
        </w:rPr>
        <w:t xml:space="preserve">03 Ngày Làm Việc</w:t>
      </w:r>
      <w:r>
        <w:t xml:space="preserve"> </w:t>
      </w:r>
      <w:r>
        <w:t xml:space="preserve">(trừ trường hợp bất khả kháng).</w:t>
      </w:r>
    </w:p>
    <w:bookmarkEnd w:id="16"/>
    <w:bookmarkStart w:id="17" w:name="điều-6.-thông-báo-và-liên-lạc"/>
    <w:p>
      <w:pPr>
        <w:pStyle w:val="Heading2"/>
      </w:pPr>
      <w:r>
        <w:t xml:space="preserve">Điều 6. Thông Báo Và Liên Lạc</w:t>
      </w:r>
    </w:p>
    <w:p>
      <w:pPr>
        <w:pStyle w:val="FirstParagraph"/>
      </w:pPr>
      <w:r>
        <w:t xml:space="preserve">Thông báo chính thức có thể gửi qua: (1) thư điện tử; (2) tin nhắn qua Zalo, WhatsApp, Telegram, Viber hoặc ứng dụng tương tự; (3) thư tay hoặc chuyển phát nhanh; theo địa chỉ, số điện thoại, email của mỗi Bên ghi trong Đơn Đặt Hàng. Mỗi Bên cập nhật thông tin liên lạc ngay khi có thay đổi.</w:t>
      </w:r>
    </w:p>
    <w:p>
      <w:pPr>
        <w:pStyle w:val="BodyText"/>
      </w:pPr>
      <w:r>
        <w:t xml:space="preserve">Thông báo được coi là đã nhận khi: (i) với thư điện tử/tin nhắn; khi có trạng thái</w:t>
      </w:r>
      <w:r>
        <w:t xml:space="preserve"> </w:t>
      </w:r>
      <w:r>
        <w:t xml:space="preserve">“Đã nhận”</w:t>
      </w:r>
      <w:r>
        <w:t xml:space="preserve">/</w:t>
      </w:r>
      <w:r>
        <w:t xml:space="preserve">“Đã xem”</w:t>
      </w:r>
      <w:r>
        <w:t xml:space="preserve">, hoặc khi Bên gửi không nhận được thông báo lỗi trong vòng 24 giờ; (ii) với thư tay/chuyển phát; vào ngày giao theo xác nhận của đơn vị chuyển phát. Thông báo gửi sau 17:30 của một Ngày Làm Việc, hoặc vào ngày không phải Ngày Làm Việc, được coi là gửi lúc 09:00 của Ngày Làm Việc tiếp theo.</w:t>
      </w:r>
    </w:p>
    <w:p>
      <w:pPr>
        <w:pStyle w:val="BlockText"/>
      </w:pPr>
      <w:r>
        <w:rPr>
          <w:b/>
          <w:bCs/>
        </w:rPr>
        <w:t xml:space="preserve">Lưu ý vận hành:</w:t>
      </w:r>
      <w:r>
        <w:t xml:space="preserve"> </w:t>
      </w:r>
      <w:r>
        <w:t xml:space="preserve">Chỉ những thông tin được xác nhận và phản hồi qua email (đúng luồng) mới được oBacker ghi nhận chính thức vào hệ thống. Trao đổi qua điện thoại, chat hay tin nhắn cá nhân chỉ mang tính hỗ trợ nhanh và cần được chốt lại bằng email.</w:t>
      </w:r>
    </w:p>
    <w:bookmarkEnd w:id="17"/>
    <w:bookmarkStart w:id="18" w:name="điều-7.-bảo-mật-thông-tin"/>
    <w:p>
      <w:pPr>
        <w:pStyle w:val="Heading2"/>
      </w:pPr>
      <w:r>
        <w:t xml:space="preserve">Điều 7. Bảo Mật Thông Tin</w:t>
      </w:r>
    </w:p>
    <w:p>
      <w:pPr>
        <w:pStyle w:val="FirstParagraph"/>
      </w:pPr>
      <w:r>
        <w:rPr>
          <w:b/>
          <w:bCs/>
        </w:rPr>
        <w:t xml:space="preserve">7.1.</w:t>
      </w:r>
      <w:r>
        <w:t xml:space="preserve"> </w:t>
      </w:r>
      <w:r>
        <w:t xml:space="preserve">Mỗi Bên cam kết giữ bí mật Thông Tin Bảo Mật nhận được từ Bên kia; chỉ sử dụng cho mục đích thực hiện Hợp Đồng và chỉ chia sẻ với nhân viên, đại diện thực sự cần biết.</w:t>
      </w:r>
    </w:p>
    <w:p>
      <w:pPr>
        <w:pStyle w:val="BodyText"/>
      </w:pPr>
      <w:r>
        <w:rPr>
          <w:b/>
          <w:bCs/>
        </w:rPr>
        <w:t xml:space="preserve">7.2. Trường hợp được phép chia sẻ:</w:t>
      </w:r>
      <w:r>
        <w:t xml:space="preserve"> </w:t>
      </w:r>
      <w:r>
        <w:t xml:space="preserve">(i) Bên thứ ba được ủy quyền thực hiện một phần công việc (kế toán, luật sư, kiểm toán viên); với điều kiện cam kết bảo mật tương tự; (ii) Cơ quan nhà nước có thẩm quyền theo yêu cầu bắt buộc của pháp luật. Bên tiết lộ chỉ chia sẻ ở mức tối thiểu cần thiết và thông báo cho Bên kia khi có thể.</w:t>
      </w:r>
    </w:p>
    <w:p>
      <w:pPr>
        <w:pStyle w:val="BodyText"/>
      </w:pPr>
      <w:r>
        <w:rPr>
          <w:b/>
          <w:bCs/>
        </w:rPr>
        <w:t xml:space="preserve">7.3. Thời hạn.</w:t>
      </w:r>
      <w:r>
        <w:t xml:space="preserve"> </w:t>
      </w:r>
      <w:r>
        <w:t xml:space="preserve">Nghĩa vụ bảo mật có hiệu lực trong suốt thời hạn Hợp Đồng và tiếp tục</w:t>
      </w:r>
      <w:r>
        <w:t xml:space="preserve"> </w:t>
      </w:r>
      <w:r>
        <w:rPr>
          <w:b/>
          <w:bCs/>
        </w:rPr>
        <w:t xml:space="preserve">05 năm</w:t>
      </w:r>
      <w:r>
        <w:t xml:space="preserve"> </w:t>
      </w:r>
      <w:r>
        <w:t xml:space="preserve">sau khi Hợp Đồng chấm dứt.</w:t>
      </w:r>
    </w:p>
    <w:p>
      <w:pPr>
        <w:pStyle w:val="BodyText"/>
      </w:pPr>
      <w:r>
        <w:rPr>
          <w:b/>
          <w:bCs/>
        </w:rPr>
        <w:t xml:space="preserve">7.4. Xử lý vi phạm.</w:t>
      </w:r>
      <w:r>
        <w:t xml:space="preserve"> </w:t>
      </w:r>
      <w:r>
        <w:t xml:space="preserve">Bên vi phạm phải bồi thường toàn bộ thiệt hại thực tế, chấm dứt ngay hành vi vi phạm và khắc phục. Bên bị vi phạm có quyền yêu cầu biện pháp khẩn cấp tạm thời tại Tòa án có thẩm quyền.</w:t>
      </w:r>
    </w:p>
    <w:bookmarkEnd w:id="18"/>
    <w:bookmarkStart w:id="19" w:name="điều-8.-bảo-vệ-dữ-liệu-cá-nhân"/>
    <w:p>
      <w:pPr>
        <w:pStyle w:val="Heading2"/>
      </w:pPr>
      <w:r>
        <w:t xml:space="preserve">Điều 8. Bảo Vệ Dữ Liệu Cá Nhân</w:t>
      </w:r>
    </w:p>
    <w:p>
      <w:pPr>
        <w:pStyle w:val="FirstParagraph"/>
      </w:pPr>
      <w:r>
        <w:t xml:space="preserve">Các Bên xử lý dữ liệu cá nhân theo đúng</w:t>
      </w:r>
      <w:r>
        <w:t xml:space="preserve"> </w:t>
      </w:r>
      <w:r>
        <w:rPr>
          <w:b/>
          <w:bCs/>
        </w:rPr>
        <w:t xml:space="preserve">Luật Bảo vệ dữ liệu cá nhân số 91/2025/QH15</w:t>
      </w:r>
      <w:r>
        <w:t xml:space="preserve"> </w:t>
      </w:r>
      <w:r>
        <w:t xml:space="preserve">(hiệu lực 01/01/2026) và</w:t>
      </w:r>
      <w:r>
        <w:t xml:space="preserve"> </w:t>
      </w:r>
      <w:r>
        <w:rPr>
          <w:b/>
          <w:bCs/>
        </w:rPr>
        <w:t xml:space="preserve">Nghị định 356/2025/NĐ-CP</w:t>
      </w:r>
      <w:r>
        <w:t xml:space="preserve">. Mục đích xử lý gồm: thực hiện nghĩa vụ hợp đồng, quản lý dự án, liên lạc điều phối, báo cáo thanh toán, hỗ trợ kỹ thuật và tuân thủ pháp luật.</w:t>
      </w:r>
    </w:p>
    <w:p>
      <w:pPr>
        <w:pStyle w:val="BodyText"/>
      </w:pPr>
      <w:r>
        <w:t xml:space="preserve">Bên cung cấp dữ liệu xác nhận đã có sự đồng ý hợp pháp của chủ thể dữ liệu trước khi chia sẻ. Bên nhận dữ liệu cam kết chỉ sử dụng cho mục đích đã thỏa thuận, áp dụng biện pháp bảo mật phù hợp và xóa/trả lại dữ liệu khi được yêu cầu hợp lệ.</w:t>
      </w:r>
    </w:p>
    <w:p>
      <w:pPr>
        <w:pStyle w:val="BodyText"/>
      </w:pPr>
      <w:r>
        <w:t xml:space="preserve">Chi tiết về cách oBacker thu thập, sử dụng, chia sẻ và bảo vệ dữ liệu cá nhân (kể cả dữ liệu nhạy cảm) được quy định tại</w:t>
      </w:r>
      <w:r>
        <w:t xml:space="preserve"> </w:t>
      </w:r>
      <w:r>
        <w:rPr>
          <w:b/>
          <w:bCs/>
        </w:rPr>
        <w:t xml:space="preserve">Chính Sách Bảo Vệ Dữ Liệu Cá Nhân</w:t>
      </w:r>
      <w:r>
        <w:t xml:space="preserve"> </w:t>
      </w:r>
      <w:r>
        <w:t xml:space="preserve">công bố tại obacker.com (xem Phần C).</w:t>
      </w:r>
    </w:p>
    <w:bookmarkEnd w:id="19"/>
    <w:bookmarkStart w:id="20" w:name="X2a31205b374de6be44347325277b4c5034ecaa8"/>
    <w:p>
      <w:pPr>
        <w:pStyle w:val="Heading2"/>
      </w:pPr>
      <w:r>
        <w:t xml:space="preserve">Điều 9. Phân Định Trách Nhiệm và Cơ Chế Bồi Thường</w:t>
      </w:r>
    </w:p>
    <w:p>
      <w:pPr>
        <w:pStyle w:val="FirstParagraph"/>
      </w:pPr>
      <w:r>
        <w:rPr>
          <w:b/>
          <w:bCs/>
        </w:rPr>
        <w:t xml:space="preserve">9.1. oBacker cam kết với Quý Khách:</w:t>
      </w:r>
    </w:p>
    <w:p>
      <w:pPr>
        <w:pStyle w:val="Compact"/>
        <w:numPr>
          <w:ilvl w:val="0"/>
          <w:numId w:val="1003"/>
        </w:numPr>
      </w:pPr>
      <w:r>
        <w:t xml:space="preserve">Thực hiện đúng phạm vi dịch vụ đã thỏa thuận với tiêu chuẩn chuyên nghiệp</w:t>
      </w:r>
    </w:p>
    <w:p>
      <w:pPr>
        <w:pStyle w:val="Compact"/>
        <w:numPr>
          <w:ilvl w:val="0"/>
          <w:numId w:val="1003"/>
        </w:numPr>
      </w:pPr>
      <w:r>
        <w:t xml:space="preserve">Chủ động thông báo ngay khi phát sinh vấn đề có thể ảnh hưởng đến kết quả dịch vụ</w:t>
      </w:r>
    </w:p>
    <w:p>
      <w:pPr>
        <w:pStyle w:val="Compact"/>
        <w:numPr>
          <w:ilvl w:val="0"/>
          <w:numId w:val="1003"/>
        </w:numPr>
      </w:pPr>
      <w:r>
        <w:t xml:space="preserve">Khắc phục sai sót trong phạm vi trách nhiệm của oBacker mà không phát sinh thêm phí.</w:t>
      </w:r>
    </w:p>
    <w:p>
      <w:pPr>
        <w:pStyle w:val="FirstParagraph"/>
      </w:pPr>
      <w:r>
        <w:rPr>
          <w:b/>
          <w:bCs/>
        </w:rPr>
        <w:t xml:space="preserve">9.2. Cơ chế chịu trách nhiệm theo bản chất của lỗi.</w:t>
      </w:r>
      <w:r>
        <w:t xml:space="preserve"> </w:t>
      </w:r>
      <w:r>
        <w:t xml:space="preserve">Trách nhiệm bồi thường được xác định dựa trên bản chất và nguồn gốc của lỗi:</w:t>
      </w:r>
    </w:p>
    <w:p>
      <w:pPr>
        <w:pStyle w:val="BodyText"/>
      </w:pPr>
      <w:r>
        <w:rPr>
          <w:b/>
          <w:bCs/>
        </w:rPr>
        <w:t xml:space="preserve">(a) Lỗi về hình thức và thời hạn; oBacker chịu 100%.</w:t>
      </w:r>
      <w:r>
        <w:t xml:space="preserve"> </w:t>
      </w:r>
      <w:r>
        <w:t xml:space="preserve">Các lỗi phát sinh từ thao tác của oBacker, như: nộp tờ khai trễ hạn (khi Quý Khách đã chốt số liệu và xác nhận đúng lịch theo quy trình), kê khai sai biểu mẫu, nộp sai cơ quan thuế/BHXH. oBacker chịu</w:t>
      </w:r>
      <w:r>
        <w:t xml:space="preserve"> </w:t>
      </w:r>
      <w:r>
        <w:rPr>
          <w:b/>
          <w:bCs/>
        </w:rPr>
        <w:t xml:space="preserve">toàn bộ tiền phạt vi phạm hành chính và tiền chậm nộp</w:t>
      </w:r>
      <w:r>
        <w:t xml:space="preserve"> </w:t>
      </w:r>
      <w:r>
        <w:t xml:space="preserve">phát sinh trực tiếp từ lỗi này.</w:t>
      </w:r>
    </w:p>
    <w:p>
      <w:pPr>
        <w:pStyle w:val="BodyText"/>
      </w:pPr>
      <w:r>
        <w:rPr>
          <w:b/>
          <w:bCs/>
        </w:rPr>
        <w:t xml:space="preserve">(b) Lỗi về nội dung và số liệu; theo nguồn gốc lỗi:</w:t>
      </w:r>
    </w:p>
    <w:p>
      <w:pPr>
        <w:pStyle w:val="Compact"/>
        <w:numPr>
          <w:ilvl w:val="0"/>
          <w:numId w:val="1004"/>
        </w:numPr>
      </w:pPr>
      <w:r>
        <w:rPr>
          <w:b/>
          <w:bCs/>
        </w:rPr>
        <w:t xml:space="preserve">(i)</w:t>
      </w:r>
      <w:r>
        <w:t xml:space="preserve"> </w:t>
      </w:r>
      <w:r>
        <w:t xml:space="preserve">Nếu số liệu sai lệch do</w:t>
      </w:r>
      <w:r>
        <w:t xml:space="preserve"> </w:t>
      </w:r>
      <w:r>
        <w:rPr>
          <w:b/>
          <w:bCs/>
        </w:rPr>
        <w:t xml:space="preserve">oBacker hạch toán/nhập liệu sai</w:t>
      </w:r>
      <w:r>
        <w:t xml:space="preserve"> </w:t>
      </w:r>
      <w:r>
        <w:t xml:space="preserve">so với chứng từ đúng mà Quý Khách đã cung cấp: oBacker chịu trách nhiệm bồi thường khoản phạt hành chính tương ứng.</w:t>
      </w:r>
    </w:p>
    <w:p>
      <w:pPr>
        <w:pStyle w:val="Compact"/>
        <w:numPr>
          <w:ilvl w:val="0"/>
          <w:numId w:val="1004"/>
        </w:numPr>
      </w:pPr>
      <w:r>
        <w:rPr>
          <w:b/>
          <w:bCs/>
        </w:rPr>
        <w:t xml:space="preserve">(ii)</w:t>
      </w:r>
      <w:r>
        <w:t xml:space="preserve"> </w:t>
      </w:r>
      <w:r>
        <w:t xml:space="preserve">Nếu số liệu sai lệch, thiếu sót, hoặc bị cơ quan nhà nước truy thu xuất phát từ việc</w:t>
      </w:r>
      <w:r>
        <w:t xml:space="preserve"> </w:t>
      </w:r>
      <w:r>
        <w:rPr>
          <w:b/>
          <w:bCs/>
        </w:rPr>
        <w:t xml:space="preserve">Quý Khách cung cấp chứng từ sai, chứng từ giả, thông tin không đầy đủ, hoặc cố tình che giấu giao dịch</w:t>
      </w:r>
      <w:r>
        <w:t xml:space="preserve">: Quý Khách tự chịu 100% trách nhiệm trước pháp luật, mọi khoản truy thu và tiền phạt. oBacker được miễn trừ trách nhiệm.</w:t>
      </w:r>
    </w:p>
    <w:p>
      <w:pPr>
        <w:pStyle w:val="FirstParagraph"/>
      </w:pPr>
      <w:r>
        <w:rPr>
          <w:b/>
          <w:bCs/>
        </w:rPr>
        <w:t xml:space="preserve">(c) Lỗi hỗn hợp.</w:t>
      </w:r>
      <w:r>
        <w:t xml:space="preserve"> </w:t>
      </w:r>
      <w:r>
        <w:t xml:space="preserve">Nếu lỗi có nguyên nhân từ cả hai Bên, hai Bên cùng làm rõ và phân chia trách nhiệm theo tỷ lệ lỗi.</w:t>
      </w:r>
    </w:p>
    <w:p>
      <w:pPr>
        <w:pStyle w:val="BodyText"/>
      </w:pPr>
      <w:r>
        <w:rPr>
          <w:b/>
          <w:bCs/>
        </w:rPr>
        <w:t xml:space="preserve">9.3. Giới hạn trách nhiệm tổng hợp.</w:t>
      </w:r>
      <w:r>
        <w:t xml:space="preserve"> </w:t>
      </w:r>
      <w:r>
        <w:t xml:space="preserve">Ngoài các khoản tiền phạt vi phạm hành chính và tiền chậm nộp trực tiếp mà oBacker chịu theo Mục 9.2(a) và 9.2(b)(i), tổng mức bồi thường của oBacker cho mọi thiệt hại khác phát sinh theo Hợp Đồng</w:t>
      </w:r>
      <w:r>
        <w:t xml:space="preserve"> </w:t>
      </w:r>
      <w:r>
        <w:rPr>
          <w:b/>
          <w:bCs/>
        </w:rPr>
        <w:t xml:space="preserve">không vượt quá tổng Phí Dịch Vụ</w:t>
      </w:r>
      <w:r>
        <w:t xml:space="preserve"> </w:t>
      </w:r>
      <w:r>
        <w:t xml:space="preserve">Quý Khách đã thanh toán theo Đơn Đặt Hàng tương ứng.</w:t>
      </w:r>
    </w:p>
    <w:p>
      <w:pPr>
        <w:pStyle w:val="BodyText"/>
      </w:pPr>
      <w:r>
        <w:rPr>
          <w:b/>
          <w:bCs/>
        </w:rPr>
        <w:t xml:space="preserve">9.4. oBacker không chịu trách nhiệm đối với:</w:t>
      </w:r>
    </w:p>
    <w:p>
      <w:pPr>
        <w:pStyle w:val="Compact"/>
        <w:numPr>
          <w:ilvl w:val="0"/>
          <w:numId w:val="1005"/>
        </w:numPr>
      </w:pPr>
      <w:r>
        <w:t xml:space="preserve">Thiệt hại phát sinh do thông tin, số liệu hoặc chứng từ không chính xác, không đầy đủ từ phía Quý Khách</w:t>
      </w:r>
    </w:p>
    <w:p>
      <w:pPr>
        <w:pStyle w:val="Compact"/>
        <w:numPr>
          <w:ilvl w:val="0"/>
          <w:numId w:val="1005"/>
        </w:numPr>
      </w:pPr>
      <w:r>
        <w:t xml:space="preserve">Quyết định kinh doanh, đầu tư hoặc pháp lý của Quý Khách dựa trên kết quả dịch vụ</w:t>
      </w:r>
    </w:p>
    <w:p>
      <w:pPr>
        <w:pStyle w:val="Compact"/>
        <w:numPr>
          <w:ilvl w:val="0"/>
          <w:numId w:val="1005"/>
        </w:numPr>
      </w:pPr>
      <w:r>
        <w:t xml:space="preserve">Kết quả từ cơ quan nhà nước (phê duyệt giấy phép, kết luận thanh tra, phán quyết tố tụng) nằm ngoài tầm kiểm soát của oBacker</w:t>
      </w:r>
    </w:p>
    <w:p>
      <w:pPr>
        <w:pStyle w:val="Compact"/>
        <w:numPr>
          <w:ilvl w:val="0"/>
          <w:numId w:val="1005"/>
        </w:numPr>
      </w:pPr>
      <w:r>
        <w:t xml:space="preserve">Thiệt hại gián tiếp, thiệt hại về cơ hội kinh doanh, hoặc thiệt hại do chậm trễ có nguyên nhân từ phía Quý Khách.</w:t>
      </w:r>
    </w:p>
    <w:p>
      <w:pPr>
        <w:pStyle w:val="FirstParagraph"/>
      </w:pPr>
      <w:r>
        <w:rPr>
          <w:b/>
          <w:bCs/>
        </w:rPr>
        <w:t xml:space="preserve">9.5. Cách xác định lỗi.</w:t>
      </w:r>
      <w:r>
        <w:t xml:space="preserve"> </w:t>
      </w:r>
      <w:r>
        <w:t xml:space="preserve">Khi phát sinh khoản phạt, hai Bên cùng rà soát email và tài liệu trao đổi liên quan, tiến trình xử lý hồ sơ, đối chiếu với quy trình chuẩn. oBacker cam kết minh bạch trong việc xác định lỗi và sẵn sàng nhận trách nhiệm khi sai sót do oBacker gây ra.</w:t>
      </w:r>
    </w:p>
    <w:bookmarkEnd w:id="20"/>
    <w:bookmarkStart w:id="21" w:name="điều-10.-giải-quyết-tranh-chấp"/>
    <w:p>
      <w:pPr>
        <w:pStyle w:val="Heading2"/>
      </w:pPr>
      <w:r>
        <w:t xml:space="preserve">Điều 10. Giải Quyết Tranh Chấp</w:t>
      </w:r>
    </w:p>
    <w:p>
      <w:pPr>
        <w:pStyle w:val="FirstParagraph"/>
      </w:pPr>
      <w:r>
        <w:t xml:space="preserve">Hợp Đồng được điều chỉnh bởi pháp luật Việt Nam. Khi phát sinh tranh chấp, các Bên được khuyến khích thương lượng, hòa giải trên tinh thần thiện chí trước; nhưng đây không phải điều kiện bắt buộc và không giới hạn quyền khởi kiện của bất kỳ Bên nào.</w:t>
      </w:r>
      <w:r>
        <w:t xml:space="preserve"> </w:t>
      </w:r>
      <w:r>
        <w:rPr>
          <w:b/>
          <w:bCs/>
        </w:rPr>
        <w:t xml:space="preserve">Tòa án nhân dân có thẩm quyền tại Việt Nam</w:t>
      </w:r>
      <w:r>
        <w:t xml:space="preserve"> </w:t>
      </w:r>
      <w:r>
        <w:t xml:space="preserve">là cơ quan duy nhất giải quyết tranh chấp. Bên thua kiện chịu toàn bộ chi phí luật sư, phí tòa án và các chi phí pháp lý thực tế khác của Bên thắng kiện.</w:t>
      </w:r>
    </w:p>
    <w:bookmarkEnd w:id="21"/>
    <w:bookmarkStart w:id="22" w:name="điều-11.-điều-khoản-chung"/>
    <w:p>
      <w:pPr>
        <w:pStyle w:val="Heading2"/>
      </w:pPr>
      <w:r>
        <w:t xml:space="preserve">Điều 11. Điều Khoản Chung</w:t>
      </w:r>
    </w:p>
    <w:p>
      <w:pPr>
        <w:pStyle w:val="FirstParagraph"/>
      </w:pPr>
      <w:r>
        <w:rPr>
          <w:b/>
          <w:bCs/>
        </w:rPr>
        <w:t xml:space="preserve">Sửa đổi Bản Điều Khoản Chung:</w:t>
      </w:r>
      <w:r>
        <w:t xml:space="preserve"> </w:t>
      </w:r>
      <w:r>
        <w:t xml:space="preserve">oBacker có quyền sửa đổi, bổ sung Bản Điều Khoản Chung và công bố phiên bản mới tại bất kỳ thời điểm nào. Phiên bản Bản Điều Khoản Chung có hiệu lực tại thời điểm mua dịch vụ (ngày oBacker nhận thanh toán đầu tiên theo Đơn Đặt Hàng) là phiên bản áp dụng cho toàn bộ thời hạn của dịch vụ đó. Phiên bản sửa đổi chỉ áp dụng cho dịch vụ mua kể từ ngày Bản Điều Khoản Chung mới có hiệu lực.</w:t>
      </w:r>
    </w:p>
    <w:p>
      <w:pPr>
        <w:pStyle w:val="BodyText"/>
      </w:pPr>
      <w:r>
        <w:rPr>
          <w:b/>
          <w:bCs/>
        </w:rPr>
        <w:t xml:space="preserve">Tính tách rời:</w:t>
      </w:r>
      <w:r>
        <w:t xml:space="preserve"> </w:t>
      </w:r>
      <w:r>
        <w:t xml:space="preserve">Nếu một điều khoản bị tuyên vô hiệu hoặc không thể thực thi, các điều khoản còn lại vẫn có hiệu lực đầy đủ.</w:t>
      </w:r>
    </w:p>
    <w:p>
      <w:pPr>
        <w:pStyle w:val="BodyText"/>
      </w:pPr>
      <w:r>
        <w:rPr>
          <w:b/>
          <w:bCs/>
        </w:rPr>
        <w:t xml:space="preserve">Chuyển nhượng:</w:t>
      </w:r>
      <w:r>
        <w:t xml:space="preserve"> </w:t>
      </w:r>
      <w:r>
        <w:t xml:space="preserve">Không Bên nào được chuyển nhượng quyền và nghĩa vụ theo Hợp Đồng cho bên thứ ba khi chưa có đồng ý trước bằng văn bản của Bên kia.</w:t>
      </w:r>
    </w:p>
    <w:p>
      <w:pPr>
        <w:pStyle w:val="BodyText"/>
      </w:pPr>
      <w:r>
        <w:rPr>
          <w:b/>
          <w:bCs/>
        </w:rPr>
        <w:t xml:space="preserve">Không từ bỏ quyền:</w:t>
      </w:r>
      <w:r>
        <w:t xml:space="preserve"> </w:t>
      </w:r>
      <w:r>
        <w:t xml:space="preserve">Việc một Bên không thực thi hoặc trì hoãn thực thi một quyền không được hiểu là từ bỏ quyền đó.</w:t>
      </w:r>
    </w:p>
    <w:p>
      <w:pPr>
        <w:pStyle w:val="BodyText"/>
      </w:pPr>
      <w:r>
        <w:rPr>
          <w:b/>
          <w:bCs/>
        </w:rPr>
        <w:t xml:space="preserve">Toàn bộ thỏa thuận:</w:t>
      </w:r>
      <w:r>
        <w:t xml:space="preserve"> </w:t>
      </w:r>
      <w:r>
        <w:t xml:space="preserve">Hợp Đồng (Bản Điều Khoản Chung, Đơn Đặt Hàng và các Điều Khoản Dịch Vụ Cụ Thể) cấu thành toàn bộ thỏa thuận giữa Các Bên, thay thế toàn bộ trao đổi, đàm phán và thỏa thuận trước đó.</w:t>
      </w:r>
    </w:p>
    <w:p>
      <w:pPr>
        <w:pStyle w:val="BodyText"/>
      </w:pPr>
      <w:r>
        <w:rPr>
          <w:b/>
          <w:bCs/>
        </w:rPr>
        <w:t xml:space="preserve">Hình thức điện tử:</w:t>
      </w:r>
      <w:r>
        <w:t xml:space="preserve"> </w:t>
      </w:r>
      <w:r>
        <w:t xml:space="preserve">Bản Điều Khoản Chung được phát hành dưới dạng điện tử và có giá trị pháp lý đầy đủ theo</w:t>
      </w:r>
      <w:r>
        <w:t xml:space="preserve"> </w:t>
      </w:r>
      <w:r>
        <w:rPr>
          <w:b/>
          <w:bCs/>
        </w:rPr>
        <w:t xml:space="preserve">Luật Giao dịch điện tử số 20/2023/QH15</w:t>
      </w:r>
      <w:r>
        <w:t xml:space="preserve">. Việc Quý Khách thanh toán được coi là đã đọc kỹ, hiểu rõ và đồng ý với toàn bộ nội dung Bản Điều Khoản Chung và Hợp Đồng.</w:t>
      </w:r>
    </w:p>
    <w:bookmarkEnd w:id="22"/>
    <w:bookmarkStart w:id="23" w:name="điều-12.-tuân-thủ-pháp-luật-liêm-chính"/>
    <w:p>
      <w:pPr>
        <w:pStyle w:val="Heading2"/>
      </w:pPr>
      <w:r>
        <w:t xml:space="preserve">Điều 12. Tuân Thủ Pháp Luật &amp; Liêm Chính</w:t>
      </w:r>
    </w:p>
    <w:p>
      <w:pPr>
        <w:pStyle w:val="FirstParagraph"/>
      </w:pPr>
      <w:r>
        <w:rPr>
          <w:b/>
          <w:bCs/>
        </w:rPr>
        <w:t xml:space="preserve">Phòng chống rửa tiền và tài trợ khủng bố (KYC):</w:t>
      </w:r>
      <w:r>
        <w:t xml:space="preserve"> </w:t>
      </w:r>
      <w:r>
        <w:t xml:space="preserve">oBacker tuân thủ pháp luật Việt Nam về phòng, chống rửa tiền (Luật Phòng, chống rửa tiền số 14/2022/QH15). oBacker có thể yêu cầu Quý Khách cung cấp thông tin xác minh danh tính của Quý Khách và, khi liên quan, của đối tác, nhân sự hoặc tổ chức liên quan, kể cả bằng chứng về nguồn gốc và quyền sở hữu khoản tiền; khi bắt đầu và trong suốt quá trình hợp tác.</w:t>
      </w:r>
    </w:p>
    <w:p>
      <w:pPr>
        <w:pStyle w:val="BodyText"/>
      </w:pPr>
      <w:r>
        <w:rPr>
          <w:b/>
          <w:bCs/>
        </w:rPr>
        <w:t xml:space="preserve">Liêm chính, phòng chống hối lộ và tham nhũng:</w:t>
      </w:r>
      <w:r>
        <w:t xml:space="preserve"> </w:t>
      </w:r>
      <w:r>
        <w:t xml:space="preserve">oBacker thực hiện hoạt động kinh doanh tuân thủ đầy đủ quy định pháp luật về phòng, chống tham nhũng, và không tham gia bất kỳ hành vi nào cấu thành hối lộ hoặc tham nhũng.</w:t>
      </w:r>
    </w:p>
    <w:bookmarkEnd w:id="23"/>
    <w:bookmarkStart w:id="24" w:name="X30ab75a972e5f6b2a6aa95fca639fa0ba83faa5"/>
    <w:p>
      <w:pPr>
        <w:pStyle w:val="Heading2"/>
      </w:pPr>
      <w:r>
        <w:t xml:space="preserve">Điều 13. Sở Hữu Trí Tuệ, Hồ Sơ &amp; Quyền Của Bên Thứ Ba</w:t>
      </w:r>
    </w:p>
    <w:p>
      <w:pPr>
        <w:pStyle w:val="FirstParagraph"/>
      </w:pPr>
      <w:r>
        <w:rPr>
          <w:b/>
          <w:bCs/>
        </w:rPr>
        <w:t xml:space="preserve">Sở hữu trí tuệ trong sản phẩm công việc:</w:t>
      </w:r>
      <w:r>
        <w:t xml:space="preserve"> </w:t>
      </w:r>
      <w:r>
        <w:t xml:space="preserve">oBacker giữ bản quyền và các quyền sở hữu trí tuệ trong sản phẩm công việc của mình (báo cáo, ý kiến tư vấn, bản thảo, biểu mẫu). Trong thời gian Hợp Đồng có hiệu lực, Quý Khách có quyền không thể hủy bỏ để sử dụng và sao chép các tài liệu oBacker chuẩn bị, đúng cho công việc thuộc phạm vi.</w:t>
      </w:r>
    </w:p>
    <w:p>
      <w:pPr>
        <w:pStyle w:val="BodyText"/>
      </w:pPr>
      <w:r>
        <w:rPr>
          <w:b/>
          <w:bCs/>
        </w:rPr>
        <w:t xml:space="preserve">Lưu trữ và hoàn trả hồ sơ:</w:t>
      </w:r>
      <w:r>
        <w:t xml:space="preserve"> </w:t>
      </w:r>
      <w:r>
        <w:t xml:space="preserve">oBacker có thể tiêu hủy hồ sơ giấy của mình, trừ tài liệu gốc Quý Khách đã yêu cầu hoàn trả. Yêu cầu hoàn trả cần đưa ra trong vòng</w:t>
      </w:r>
      <w:r>
        <w:t xml:space="preserve"> </w:t>
      </w:r>
      <w:r>
        <w:rPr>
          <w:b/>
          <w:bCs/>
        </w:rPr>
        <w:t xml:space="preserve">01 năm</w:t>
      </w:r>
      <w:r>
        <w:t xml:space="preserve"> </w:t>
      </w:r>
      <w:r>
        <w:t xml:space="preserve">kể từ ngày oBacker phát hành hóa đơn cuối cùng cho công việc liên quan.</w:t>
      </w:r>
    </w:p>
    <w:p>
      <w:pPr>
        <w:pStyle w:val="BodyText"/>
      </w:pPr>
      <w:r>
        <w:rPr>
          <w:b/>
          <w:bCs/>
        </w:rPr>
        <w:t xml:space="preserve">Không lôi kéo nhân sự:</w:t>
      </w:r>
      <w:r>
        <w:t xml:space="preserve"> </w:t>
      </w:r>
      <w:r>
        <w:t xml:space="preserve">Trong thời hạn Hợp Đồng và</w:t>
      </w:r>
      <w:r>
        <w:t xml:space="preserve"> </w:t>
      </w:r>
      <w:r>
        <w:rPr>
          <w:b/>
          <w:bCs/>
        </w:rPr>
        <w:t xml:space="preserve">05 năm</w:t>
      </w:r>
      <w:r>
        <w:t xml:space="preserve"> </w:t>
      </w:r>
      <w:r>
        <w:t xml:space="preserve">sau khi hoàn thành Dịch Vụ, Quý Khách (và công ty liên kết, công ty con) không trực tiếp/gián tiếp lôi kéo, tuyển dụng hoặc thuê nhân sự của oBacker khi chưa có đồng ý trước bằng văn bản của oBacker.</w:t>
      </w:r>
    </w:p>
    <w:p>
      <w:pPr>
        <w:pStyle w:val="BodyText"/>
      </w:pPr>
      <w:r>
        <w:rPr>
          <w:b/>
          <w:bCs/>
        </w:rPr>
        <w:t xml:space="preserve">Quyền của bên thứ ba:</w:t>
      </w:r>
      <w:r>
        <w:t xml:space="preserve"> </w:t>
      </w:r>
      <w:r>
        <w:t xml:space="preserve">Cá nhân/tổ chức không phải là một Bên của Hợp Đồng không có quyền thực thi bất kỳ điều khoản nào. Sản phẩm và ý kiến tư vấn của oBacker chỉ phục vụ Quý Khách cho mục đích đã thỏa thuận; oBacker không chịu trách nhiệm với tổn thất phát sinh từ việc bên thứ ba tự ý sử dụng.</w:t>
      </w:r>
    </w:p>
    <w:p>
      <w:r>
        <w:pict>
          <v:rect style="width:0;height:1.5pt" o:hralign="center" o:hrstd="t" o:hr="t"/>
        </w:pict>
      </w:r>
    </w:p>
    <w:bookmarkEnd w:id="24"/>
    <w:bookmarkEnd w:id="25"/>
    <w:bookmarkStart w:id="35" w:name="phần-b-dịch-vụ-và-điều-khoản-vận-hành"/>
    <w:p>
      <w:pPr>
        <w:pStyle w:val="Heading1"/>
      </w:pPr>
      <w:r>
        <w:t xml:space="preserve">PHẦN B; DỊCH VỤ VÀ ĐIỀU KHOẢN VẬN HÀNH</w:t>
      </w:r>
    </w:p>
    <w:bookmarkStart w:id="26" w:name="X64ba3e5dc03dbb9182e003154c6977d5509faca"/>
    <w:p>
      <w:pPr>
        <w:pStyle w:val="Heading2"/>
      </w:pPr>
      <w:r>
        <w:t xml:space="preserve">Điều 14. Cấu Trúc Tài Liệu và Thứ Tự Ưu Tiên Áp Dụng</w:t>
      </w:r>
    </w:p>
    <w:p>
      <w:pPr>
        <w:pStyle w:val="FirstParagraph"/>
      </w:pPr>
      <w:r>
        <w:t xml:space="preserve">Quan hệ dịch vụ giữa oBacker và Quý Khách được điều chỉnh bởi bộ tài liệu sau. Khi có mâu thuẫn, áp dụng theo thứ tự ưu tiên từ cao xuống thấp:</w:t>
      </w:r>
    </w:p>
    <w:p>
      <w:pPr>
        <w:pStyle w:val="Compact"/>
        <w:numPr>
          <w:ilvl w:val="0"/>
          <w:numId w:val="1006"/>
        </w:numPr>
      </w:pPr>
      <w:r>
        <w:rPr>
          <w:b/>
          <w:bCs/>
        </w:rPr>
        <w:t xml:space="preserve">Đơn Đặt Hàng</w:t>
      </w:r>
      <w:r>
        <w:t xml:space="preserve">; xác định dịch vụ, phí, lịch thanh toán cho từng đơn hàng cụ thể.</w:t>
      </w:r>
    </w:p>
    <w:p>
      <w:pPr>
        <w:pStyle w:val="Compact"/>
        <w:numPr>
          <w:ilvl w:val="0"/>
          <w:numId w:val="1006"/>
        </w:numPr>
      </w:pPr>
      <w:r>
        <w:rPr>
          <w:b/>
          <w:bCs/>
        </w:rPr>
        <w:t xml:space="preserve">Điều Khoản Dịch Vụ Cụ Thể</w:t>
      </w:r>
      <w:r>
        <w:t xml:space="preserve"> </w:t>
      </w:r>
      <w:r>
        <w:t xml:space="preserve">(PL-KT, PL-NS, PL-GP, PL-PL) và Điều Khoản Nạp Ví; áp dụng cho từng nhóm dịch vụ; ưu tiên hơn Phần A đối với dịch vụ tương ứng.</w:t>
      </w:r>
    </w:p>
    <w:p>
      <w:pPr>
        <w:pStyle w:val="Compact"/>
        <w:numPr>
          <w:ilvl w:val="0"/>
          <w:numId w:val="1006"/>
        </w:numPr>
      </w:pPr>
      <w:r>
        <w:rPr>
          <w:b/>
          <w:bCs/>
        </w:rPr>
        <w:t xml:space="preserve">Bản Điều Khoản Chung (Phần A + B)</w:t>
      </w:r>
      <w:r>
        <w:t xml:space="preserve">; nguyên tắc chung áp dụng cho toàn bộ quan hệ dịch vụ.</w:t>
      </w:r>
    </w:p>
    <w:p>
      <w:pPr>
        <w:pStyle w:val="Compact"/>
        <w:numPr>
          <w:ilvl w:val="0"/>
          <w:numId w:val="1006"/>
        </w:numPr>
      </w:pPr>
      <w:r>
        <w:rPr>
          <w:b/>
          <w:bCs/>
        </w:rPr>
        <w:t xml:space="preserve">Chính Sách Bảo Vệ Dữ Liệu Cá Nhân</w:t>
      </w:r>
      <w:r>
        <w:t xml:space="preserve">; điều chỉnh riêng việc xử lý dữ liệu cá nhân.</w:t>
      </w:r>
    </w:p>
    <w:p>
      <w:pPr>
        <w:pStyle w:val="FirstParagraph"/>
      </w:pPr>
      <w:r>
        <w:t xml:space="preserve">Các tài liệu vận hành (Cẩm nang / Hướng dẫn Làm việc với oBacker, quy trình nội bộ) có tính chất hướng dẫn;</w:t>
      </w:r>
      <w:r>
        <w:t xml:space="preserve"> </w:t>
      </w:r>
      <w:r>
        <w:rPr>
          <w:b/>
          <w:bCs/>
        </w:rPr>
        <w:t xml:space="preserve">nếu hướng dẫn mâu thuẫn với Hợp Đồng, áp dụng theo Hợp Đồng.</w:t>
      </w:r>
    </w:p>
    <w:bookmarkEnd w:id="26"/>
    <w:bookmarkStart w:id="27" w:name="điều-15.-định-nghĩa-01-giao-dịch"/>
    <w:p>
      <w:pPr>
        <w:pStyle w:val="Heading2"/>
      </w:pPr>
      <w:r>
        <w:t xml:space="preserve">Điều 15. Định Nghĩa</w:t>
      </w:r>
      <w:r>
        <w:t xml:space="preserve"> </w:t>
      </w:r>
      <w:r>
        <w:t xml:space="preserve">“01 Giao Dịch”</w:t>
      </w:r>
    </w:p>
    <w:p>
      <w:pPr>
        <w:pStyle w:val="FirstParagraph"/>
      </w:pPr>
      <w:r>
        <w:t xml:space="preserve">Khối lượng và phí của dịch vụ Kế toán được xác định theo số Giao Dịch. Để minh bạch và tránh tính trùng:</w:t>
      </w:r>
    </w:p>
    <w:p>
      <w:pPr>
        <w:pStyle w:val="Compact"/>
        <w:numPr>
          <w:ilvl w:val="0"/>
          <w:numId w:val="1007"/>
        </w:numPr>
      </w:pPr>
      <w:r>
        <w:rPr>
          <w:b/>
          <w:bCs/>
        </w:rPr>
        <w:t xml:space="preserve">01 Giao Dịch được tính bằng 01 bút toán ghi nhận trên sổ kế toán</w:t>
      </w:r>
      <w:r>
        <w:t xml:space="preserve">, tương ứng với 01 hóa đơn mua vào/bán ra hợp lệ,</w:t>
      </w:r>
      <w:r>
        <w:t xml:space="preserve"> </w:t>
      </w:r>
      <w:r>
        <w:rPr>
          <w:b/>
          <w:bCs/>
        </w:rPr>
        <w:t xml:space="preserve">HOẶC</w:t>
      </w:r>
      <w:r>
        <w:t xml:space="preserve"> </w:t>
      </w:r>
      <w:r>
        <w:t xml:space="preserve">01 dòng phát sinh độc lập trên sao kê ngân hàng.</w:t>
      </w:r>
    </w:p>
    <w:p>
      <w:pPr>
        <w:pStyle w:val="Compact"/>
        <w:numPr>
          <w:ilvl w:val="0"/>
          <w:numId w:val="1007"/>
        </w:numPr>
      </w:pPr>
      <w:r>
        <w:rPr>
          <w:b/>
          <w:bCs/>
        </w:rPr>
        <w:t xml:space="preserve">Chính sách hỗ trợ (gộp một đợt chi trả lương):</w:t>
      </w:r>
      <w:r>
        <w:t xml:space="preserve"> </w:t>
      </w:r>
      <w:r>
        <w:t xml:space="preserve">Riêng các bút toán chi trả lương hàng tháng cho nhân viên, nếu thanh toán trong</w:t>
      </w:r>
      <w:r>
        <w:t xml:space="preserve"> </w:t>
      </w:r>
      <w:r>
        <w:rPr>
          <w:b/>
          <w:bCs/>
        </w:rPr>
        <w:t xml:space="preserve">cùng một đợt chi trả</w:t>
      </w:r>
      <w:r>
        <w:t xml:space="preserve">, oBacker gộp lại và chỉ tính chung là</w:t>
      </w:r>
      <w:r>
        <w:t xml:space="preserve"> </w:t>
      </w:r>
      <w:r>
        <w:rPr>
          <w:b/>
          <w:bCs/>
        </w:rPr>
        <w:t xml:space="preserve">01 Giao Dịch</w:t>
      </w:r>
      <w:r>
        <w:t xml:space="preserve">, không đếm theo số lượng nhân sự được nhận lương.</w:t>
      </w:r>
    </w:p>
    <w:p>
      <w:pPr>
        <w:pStyle w:val="FirstParagraph"/>
      </w:pPr>
      <w:r>
        <w:t xml:space="preserve">Ngưỡng Giao Dịch/tháng của từng gói được ghi tại Đơn Đặt Hàng. Khi doanh nghiệp vượt ngưỡng, oBacker chủ động thông báo và đề xuất nâng gói; trong thời gian chuyển tiếp vẫn xử lý đầy đủ khối lượng nhưng có thể phát sinh phí điều chỉnh theo thỏa thuận.</w:t>
      </w:r>
    </w:p>
    <w:bookmarkEnd w:id="27"/>
    <w:bookmarkStart w:id="28" w:name="điều-16.-dịch-vụ-kế-toán-thuế-pl-kt"/>
    <w:p>
      <w:pPr>
        <w:pStyle w:val="Heading2"/>
      </w:pPr>
      <w:r>
        <w:t xml:space="preserve">Điều 16. Dịch Vụ Kế Toán &amp; Thuế; PL-KT</w:t>
      </w:r>
    </w:p>
    <w:p>
      <w:pPr>
        <w:pStyle w:val="FirstParagraph"/>
      </w:pPr>
      <w:r>
        <w:t xml:space="preserve">Dịch Vụ Kế toán &amp; Thuế được điều chỉnh chi tiết tại</w:t>
      </w:r>
      <w:r>
        <w:t xml:space="preserve"> </w:t>
      </w:r>
      <w:r>
        <w:rPr>
          <w:b/>
          <w:bCs/>
        </w:rPr>
        <w:t xml:space="preserve">PL-KT</w:t>
      </w:r>
      <w:r>
        <w:t xml:space="preserve">. Tóm tắt:</w:t>
      </w:r>
    </w:p>
    <w:p>
      <w:pPr>
        <w:pStyle w:val="Compact"/>
        <w:numPr>
          <w:ilvl w:val="0"/>
          <w:numId w:val="1008"/>
        </w:numPr>
      </w:pPr>
      <w:r>
        <w:rPr>
          <w:b/>
          <w:bCs/>
        </w:rPr>
        <w:t xml:space="preserve">Kế toán:</w:t>
      </w:r>
      <w:r>
        <w:t xml:space="preserve"> </w:t>
      </w:r>
      <w:r>
        <w:t xml:space="preserve">ghi sổ theo Chế độ kế toán Việt Nam (TT 200/2014/TT-BTC hoặc TT 133/2016/TT-BTC tùy quy mô), chốt sổ hàng tháng, phát hành báo cáo tài chính nội bộ hàng tháng và BCTC năm, nộp BCTC đúng hạn.</w:t>
      </w:r>
    </w:p>
    <w:p>
      <w:pPr>
        <w:pStyle w:val="Compact"/>
        <w:numPr>
          <w:ilvl w:val="0"/>
          <w:numId w:val="1008"/>
        </w:numPr>
      </w:pPr>
      <w:r>
        <w:rPr>
          <w:b/>
          <w:bCs/>
        </w:rPr>
        <w:t xml:space="preserve">Thuế doanh nghiệp:</w:t>
      </w:r>
      <w:r>
        <w:t xml:space="preserve"> </w:t>
      </w:r>
      <w:r>
        <w:t xml:space="preserve">kê khai và nộp GTGT, tạm nộp &amp; quyết toán TNDN,</w:t>
      </w:r>
      <w:r>
        <w:t xml:space="preserve"> </w:t>
      </w:r>
      <w:r>
        <w:rPr>
          <w:b/>
          <w:bCs/>
        </w:rPr>
        <w:t xml:space="preserve">kê khai thuế nhà thầu nước ngoài (FCT) khi phát sinh</w:t>
      </w:r>
      <w:r>
        <w:t xml:space="preserve">; theo dõi và thông báo nghĩa vụ thuế.</w:t>
      </w:r>
    </w:p>
    <w:p>
      <w:pPr>
        <w:pStyle w:val="Compact"/>
        <w:numPr>
          <w:ilvl w:val="0"/>
          <w:numId w:val="1008"/>
        </w:numPr>
      </w:pPr>
      <w:r>
        <w:rPr>
          <w:b/>
          <w:bCs/>
        </w:rPr>
        <w:t xml:space="preserve">Hóa đơn điện tử:</w:t>
      </w:r>
      <w:r>
        <w:t xml:space="preserve"> </w:t>
      </w:r>
      <w:r>
        <w:t xml:space="preserve">thiết lập, kích hoạt hệ thống hóa đơn điện tử theo NĐ 254/2026/NĐ-CP và TT 91/2026/TT-BTC.</w:t>
      </w:r>
    </w:p>
    <w:p>
      <w:pPr>
        <w:pStyle w:val="FirstParagraph"/>
      </w:pPr>
      <w:r>
        <w:rPr>
          <w:b/>
          <w:bCs/>
        </w:rPr>
        <w:t xml:space="preserve">Kê khai thuế nhà thầu nước ngoài (FCT):</w:t>
      </w:r>
      <w:r>
        <w:t xml:space="preserve"> </w:t>
      </w:r>
      <w:r>
        <w:t xml:space="preserve">Việc kê khai FCT khi Quý Khách thanh toán cho nhà cung cấp nước ngoài (phần mềm dạng dịch vụ, quảng cáo trực tuyến, lưu trữ máy chủ, bản quyền…) được</w:t>
      </w:r>
      <w:r>
        <w:t xml:space="preserve"> </w:t>
      </w:r>
      <w:r>
        <w:rPr>
          <w:b/>
          <w:bCs/>
        </w:rPr>
        <w:t xml:space="preserve">bao gồm miễn phí trong tất cả các gói, kể cả gói Starter</w:t>
      </w:r>
      <w:r>
        <w:t xml:space="preserve">. Quý Khách có nghĩa vụ báo ngay cho oBacker (ops@obacker.com) khi phát sinh giao dịch, kèm hóa đơn, chứng từ thanh toán và mô tả dịch vụ. Cơ sở pháp lý FCT:</w:t>
      </w:r>
      <w:r>
        <w:t xml:space="preserve"> </w:t>
      </w:r>
      <w:r>
        <w:rPr>
          <w:b/>
          <w:bCs/>
        </w:rPr>
        <w:t xml:space="preserve">Thông tư 103/2014/TT-BTC</w:t>
      </w:r>
      <w:r>
        <w:t xml:space="preserve">.</w:t>
      </w:r>
    </w:p>
    <w:p>
      <w:pPr>
        <w:pStyle w:val="BodyText"/>
      </w:pPr>
      <w:r>
        <w:rPr>
          <w:b/>
          <w:bCs/>
        </w:rPr>
        <w:t xml:space="preserve">oBacker không nộp thay tiền thuế</w:t>
      </w:r>
      <w:r>
        <w:t xml:space="preserve">, trừ khi Quý Khách yêu cầu liên kết tài khoản thuế điện tử với tài khoản ngân hàng và đã xác nhận tờ khai.</w:t>
      </w:r>
    </w:p>
    <w:p>
      <w:pPr>
        <w:pStyle w:val="BlockText"/>
      </w:pPr>
      <w:r>
        <w:t xml:space="preserve">Kê khai và quyết toán</w:t>
      </w:r>
      <w:r>
        <w:t xml:space="preserve"> </w:t>
      </w:r>
      <w:r>
        <w:rPr>
          <w:b/>
          <w:bCs/>
        </w:rPr>
        <w:t xml:space="preserve">thuế TNCN từ tiền lương</w:t>
      </w:r>
      <w:r>
        <w:t xml:space="preserve"> </w:t>
      </w:r>
      <w:r>
        <w:t xml:space="preserve">thuộc Dịch Vụ Nhân Sự (PL-NS). Tư vấn/tối ưu thuế thuộc Dịch Vụ Pháp Lý (PL-PL).</w:t>
      </w:r>
    </w:p>
    <w:bookmarkEnd w:id="28"/>
    <w:bookmarkStart w:id="29" w:name="điều-17.-dịch-vụ-nhân-sự-pl-ns"/>
    <w:p>
      <w:pPr>
        <w:pStyle w:val="Heading2"/>
      </w:pPr>
      <w:r>
        <w:t xml:space="preserve">Điều 17. Dịch Vụ Nhân Sự; PL-NS</w:t>
      </w:r>
    </w:p>
    <w:p>
      <w:pPr>
        <w:pStyle w:val="FirstParagraph"/>
      </w:pPr>
      <w:r>
        <w:t xml:space="preserve">Dịch Vụ Nhân sự được điều chỉnh chi tiết tại</w:t>
      </w:r>
      <w:r>
        <w:t xml:space="preserve"> </w:t>
      </w:r>
      <w:r>
        <w:rPr>
          <w:b/>
          <w:bCs/>
        </w:rPr>
        <w:t xml:space="preserve">PL-NS</w:t>
      </w:r>
      <w:r>
        <w:t xml:space="preserve">. Tóm tắt:</w:t>
      </w:r>
    </w:p>
    <w:p>
      <w:pPr>
        <w:pStyle w:val="Compact"/>
        <w:numPr>
          <w:ilvl w:val="0"/>
          <w:numId w:val="1009"/>
        </w:numPr>
      </w:pPr>
      <w:r>
        <w:rPr>
          <w:b/>
          <w:bCs/>
        </w:rPr>
        <w:t xml:space="preserve">Tiền lương:</w:t>
      </w:r>
      <w:r>
        <w:t xml:space="preserve"> </w:t>
      </w:r>
      <w:r>
        <w:t xml:space="preserve">chạy bảng tính lương hàng tháng và phát hành phiếu lương theo</w:t>
      </w:r>
      <w:r>
        <w:t xml:space="preserve"> </w:t>
      </w:r>
      <w:r>
        <w:rPr>
          <w:b/>
          <w:bCs/>
        </w:rPr>
        <w:t xml:space="preserve">Khung tính lương (</w:t>
      </w:r>
      <w:r>
        <w:rPr>
          <w:b/>
          <w:bCs/>
        </w:rPr>
        <w:t xml:space="preserve">“Khung”</w:t>
      </w:r>
      <w:r>
        <w:rPr>
          <w:b/>
          <w:bCs/>
        </w:rPr>
        <w:t xml:space="preserve">) chuẩn của oBacker được hai Bên thống nhất trước</w:t>
      </w:r>
      <w:r>
        <w:t xml:space="preserve">; cơ chế tính lương/chấm công phức tạp hoặc tùy biến cao vượt Khung được xử lý theo Mục 2.1 PL-NS (Quý Khách cung cấp số liệu sẵn, đơn giản hóa, hoặc dịch vụ bổ sung ngoài gói)</w:t>
      </w:r>
    </w:p>
    <w:p>
      <w:pPr>
        <w:pStyle w:val="Compact"/>
        <w:numPr>
          <w:ilvl w:val="0"/>
          <w:numId w:val="1009"/>
        </w:numPr>
      </w:pPr>
      <w:r>
        <w:rPr>
          <w:b/>
          <w:bCs/>
        </w:rPr>
        <w:t xml:space="preserve">Thuế TNCN:</w:t>
      </w:r>
      <w:r>
        <w:t xml:space="preserve"> </w:t>
      </w:r>
      <w:r>
        <w:t xml:space="preserve">đăng ký mã số thuế cá nhân, người phụ thuộc; khấu trừ, kê khai và quyết toán TNCN; cấp chứng từ khấu trừ thuế cho người lao động</w:t>
      </w:r>
    </w:p>
    <w:p>
      <w:pPr>
        <w:pStyle w:val="Compact"/>
        <w:numPr>
          <w:ilvl w:val="0"/>
          <w:numId w:val="1009"/>
        </w:numPr>
      </w:pPr>
      <w:r>
        <w:rPr>
          <w:b/>
          <w:bCs/>
        </w:rPr>
        <w:t xml:space="preserve">Bảo hiểm:</w:t>
      </w:r>
      <w:r>
        <w:t xml:space="preserve"> </w:t>
      </w:r>
      <w:r>
        <w:t xml:space="preserve">đăng ký, báo tăng/giảm, chốt sổ, điều chỉnh BHXH-BHYT-BHTN; đối soát số tiền phải đóng hàng kỳ</w:t>
      </w:r>
    </w:p>
    <w:p>
      <w:pPr>
        <w:pStyle w:val="Compact"/>
        <w:numPr>
          <w:ilvl w:val="0"/>
          <w:numId w:val="1009"/>
        </w:numPr>
      </w:pPr>
      <w:r>
        <w:rPr>
          <w:b/>
          <w:bCs/>
        </w:rPr>
        <w:t xml:space="preserve">Hợp đồng &amp; báo cáo lao động:</w:t>
      </w:r>
      <w:r>
        <w:t xml:space="preserve"> </w:t>
      </w:r>
      <w:r>
        <w:t xml:space="preserve">soạn hợp đồng lao động, phụ lục, thỏa thuận bảo mật (NDA) theo biểu mẫu chuẩn; báo cáo lao động định kỳ; hỗ trợ đăng ký nội quy lao động.</w:t>
      </w:r>
    </w:p>
    <w:p>
      <w:pPr>
        <w:pStyle w:val="FirstParagraph"/>
      </w:pPr>
      <w:r>
        <w:rPr>
          <w:b/>
          <w:bCs/>
        </w:rPr>
        <w:t xml:space="preserve">Ngoài phạm vi:</w:t>
      </w:r>
      <w:r>
        <w:t xml:space="preserve"> </w:t>
      </w:r>
      <w:r>
        <w:t xml:space="preserve">oBacker không cung cấp dịch vụ sa thải, xử lý kỷ luật, hòa giải/tố tụng tranh chấp lao động; không xử lý thủ tục giấy phép lao động, thẻ tạm trú, thị thực cho người lao động nước ngoài; không cung cấp dịch vụ tuyển dụng, tìm kiếm nhân sự. Các nhu cầu này áp dụng dịch vụ bổ sung ngoài gói hoặc giới thiệu đối tác.</w:t>
      </w:r>
    </w:p>
    <w:bookmarkEnd w:id="29"/>
    <w:bookmarkStart w:id="30" w:name="điều-18.-dịch-vụ-xin-giấy-phép-pl-gp"/>
    <w:p>
      <w:pPr>
        <w:pStyle w:val="Heading2"/>
      </w:pPr>
      <w:r>
        <w:t xml:space="preserve">Điều 18. Dịch Vụ Xin Giấy Phép; PL-GP</w:t>
      </w:r>
    </w:p>
    <w:p>
      <w:pPr>
        <w:pStyle w:val="FirstParagraph"/>
      </w:pPr>
      <w:r>
        <w:t xml:space="preserve">Dịch Vụ Xin Giấy Phép được điều chỉnh chi tiết tại</w:t>
      </w:r>
      <w:r>
        <w:t xml:space="preserve"> </w:t>
      </w:r>
      <w:r>
        <w:rPr>
          <w:b/>
          <w:bCs/>
        </w:rPr>
        <w:t xml:space="preserve">PL-GP</w:t>
      </w:r>
      <w:r>
        <w:t xml:space="preserve">. oBacker hỗ trợ chuẩn bị hồ sơ, nộp tại cơ quan nhà nước, theo dõi tiến trình và tiếp nhận kết quả (cấp mới, gia hạn, điều chỉnh). Dịch Vụ</w:t>
      </w:r>
      <w:r>
        <w:t xml:space="preserve"> </w:t>
      </w:r>
      <w:r>
        <w:rPr>
          <w:b/>
          <w:bCs/>
        </w:rPr>
        <w:t xml:space="preserve">giới hạn trong thực hiện thủ tục hành chính</w:t>
      </w:r>
      <w:r>
        <w:t xml:space="preserve">, không bao gồm tư vấn chuyên sâu về điều kiện kinh doanh, thuế, tài chính hay sở hữu trí tuệ. Việc cấp phép, phê duyệt và thời hạn xử lý thuộc thẩm quyền tuyệt đối của cơ quan nhà nước.</w:t>
      </w:r>
    </w:p>
    <w:bookmarkEnd w:id="30"/>
    <w:bookmarkStart w:id="31" w:name="điều-19.-dịch-vụ-pháp-lý-pl-pl"/>
    <w:p>
      <w:pPr>
        <w:pStyle w:val="Heading2"/>
      </w:pPr>
      <w:r>
        <w:t xml:space="preserve">Điều 19. Dịch Vụ Pháp Lý; PL-PL</w:t>
      </w:r>
    </w:p>
    <w:p>
      <w:pPr>
        <w:pStyle w:val="FirstParagraph"/>
      </w:pPr>
      <w:r>
        <w:t xml:space="preserve">Dịch Vụ Pháp Lý được điều chỉnh chi tiết tại</w:t>
      </w:r>
      <w:r>
        <w:t xml:space="preserve"> </w:t>
      </w:r>
      <w:r>
        <w:rPr>
          <w:b/>
          <w:bCs/>
        </w:rPr>
        <w:t xml:space="preserve">PL-PL</w:t>
      </w:r>
      <w:r>
        <w:t xml:space="preserve">, cung cấp theo số giờ tư vấn/kỳ, số lượt rà soát hợp đồng/kỳ, hoặc theo vụ việc; bao gồm tư vấn pháp lý &amp; thuế, rà soát/soạn thảo hợp đồng và nghiên cứu theo yêu cầu.</w:t>
      </w:r>
    </w:p>
    <w:p>
      <w:pPr>
        <w:pStyle w:val="BodyText"/>
      </w:pPr>
      <w:r>
        <w:rPr>
          <w:b/>
          <w:bCs/>
        </w:rPr>
        <w:t xml:space="preserve">Phạm vi 01 lượt soát xét hợp đồng:</w:t>
      </w:r>
    </w:p>
    <w:p>
      <w:pPr>
        <w:pStyle w:val="Compact"/>
        <w:numPr>
          <w:ilvl w:val="0"/>
          <w:numId w:val="1010"/>
        </w:numPr>
      </w:pPr>
      <w:r>
        <w:rPr>
          <w:b/>
          <w:bCs/>
        </w:rPr>
        <w:t xml:space="preserve">01 hợp đồng độ dài tối đa 10 trang</w:t>
      </w:r>
      <w:r>
        <w:t xml:space="preserve"> </w:t>
      </w:r>
      <w:r>
        <w:t xml:space="preserve">(tương đương khoảng 3.000; 4.000 chữ)</w:t>
      </w:r>
    </w:p>
    <w:p>
      <w:pPr>
        <w:pStyle w:val="Compact"/>
        <w:numPr>
          <w:ilvl w:val="0"/>
          <w:numId w:val="1010"/>
        </w:numPr>
      </w:pPr>
      <w:r>
        <w:t xml:space="preserve">Kiểm tra rủi ro pháp lý cơ bản, chỉ ra điều khoản bất lợi</w:t>
      </w:r>
    </w:p>
    <w:p>
      <w:pPr>
        <w:pStyle w:val="Compact"/>
        <w:numPr>
          <w:ilvl w:val="0"/>
          <w:numId w:val="1010"/>
        </w:numPr>
      </w:pPr>
      <w:r>
        <w:t xml:space="preserve">01 vòng rà soát + 01 vòng phản hồi; thời gian xử lý 03 Ngày Làm Việc.</w:t>
      </w:r>
    </w:p>
    <w:p>
      <w:pPr>
        <w:pStyle w:val="Compact"/>
        <w:numPr>
          <w:ilvl w:val="0"/>
          <w:numId w:val="1010"/>
        </w:numPr>
      </w:pPr>
      <w:r>
        <w:rPr>
          <w:b/>
          <w:bCs/>
        </w:rPr>
        <w:t xml:space="preserve">Nếu hợp đồng vượt quá 10 trang</w:t>
      </w:r>
      <w:r>
        <w:t xml:space="preserve">, hệ thống tính là</w:t>
      </w:r>
      <w:r>
        <w:t xml:space="preserve"> </w:t>
      </w:r>
      <w:r>
        <w:rPr>
          <w:b/>
          <w:bCs/>
        </w:rPr>
        <w:t xml:space="preserve">02 lượt soát xét</w:t>
      </w:r>
      <w:r>
        <w:t xml:space="preserve">, hoặc chuyển sang tư vấn dạng dịch vụ bổ sung ngoài gói tùy độ phức tạp (báo giá trước khi thực hiện).</w:t>
      </w:r>
    </w:p>
    <w:p>
      <w:pPr>
        <w:pStyle w:val="FirstParagraph"/>
      </w:pPr>
      <w:r>
        <w:t xml:space="preserve">Sản phẩm soát xét là</w:t>
      </w:r>
      <w:r>
        <w:t xml:space="preserve"> </w:t>
      </w:r>
      <w:r>
        <w:rPr>
          <w:b/>
          <w:bCs/>
        </w:rPr>
        <w:t xml:space="preserve">báo cáo rà soát</w:t>
      </w:r>
      <w:r>
        <w:t xml:space="preserve">, không bao gồm bản hợp đồng đã chỉnh sửa (việc chỉnh sửa/soạn lại là dịch vụ riêng). Hạn mức tư vấn/soát xét theo gói</w:t>
      </w:r>
      <w:r>
        <w:t xml:space="preserve"> </w:t>
      </w:r>
      <w:r>
        <w:rPr>
          <w:b/>
          <w:bCs/>
        </w:rPr>
        <w:t xml:space="preserve">không tích lũy</w:t>
      </w:r>
      <w:r>
        <w:t xml:space="preserve"> </w:t>
      </w:r>
      <w:r>
        <w:t xml:space="preserve">sang kỳ sau.</w:t>
      </w:r>
    </w:p>
    <w:bookmarkEnd w:id="31"/>
    <w:bookmarkStart w:id="32" w:name="X1dabf4244db37483cad27eb8e65a8ccab7d0b9f"/>
    <w:p>
      <w:pPr>
        <w:pStyle w:val="Heading2"/>
      </w:pPr>
      <w:r>
        <w:t xml:space="preserve">Điều 20. Lịch Phối Hợp Định Kỳ Hàng Tháng</w:t>
      </w:r>
    </w:p>
    <w:p>
      <w:pPr>
        <w:pStyle w:val="FirstParagraph"/>
      </w:pPr>
      <w:r>
        <w:t xml:space="preserve">Sau giai đoạn thiết lập ban đầu, việc phối hợp đi vào lịch cố định hàng tháng. Email định kỳ được gửi từ ops@obacker.com; đầu mối của Quý Khách là người phụ trách tài khoản. Quý Khách phản hồi theo đúng luồng email; chỉ thông tin được xác nhận qua email mới được ghi nhận vào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Thời điểm</w:t>
            </w:r>
          </w:p>
        </w:tc>
        <w:tc>
          <w:tcPr/>
          <w:p>
            <w:pPr>
              <w:pStyle w:val="Compact"/>
            </w:pPr>
            <w:r>
              <w:t xml:space="preserve">oBacker chủ động gửi</w:t>
            </w:r>
          </w:p>
        </w:tc>
        <w:tc>
          <w:tcPr/>
          <w:p>
            <w:pPr>
              <w:pStyle w:val="Compact"/>
            </w:pPr>
            <w:r>
              <w:t xml:space="preserve">Quý Khách cần làm</w:t>
            </w:r>
          </w:p>
        </w:tc>
      </w:tr>
      <w:tr>
        <w:tc>
          <w:tcPr/>
          <w:p>
            <w:pPr>
              <w:pStyle w:val="Compact"/>
            </w:pPr>
            <w:r>
              <w:t xml:space="preserve">Ngày 1 &amp; 5</w:t>
            </w:r>
          </w:p>
        </w:tc>
        <w:tc>
          <w:tcPr/>
          <w:p>
            <w:pPr>
              <w:pStyle w:val="Compact"/>
            </w:pPr>
            <w:r>
              <w:t xml:space="preserve">Thu thập số liệu tháng trước (sao kê, hợp đồng mới, hóa đơn đầu vào/ra)</w:t>
            </w:r>
          </w:p>
        </w:tc>
        <w:tc>
          <w:tcPr/>
          <w:p>
            <w:pPr>
              <w:pStyle w:val="Compact"/>
            </w:pPr>
            <w:r>
              <w:t xml:space="preserve">Phản hồi kèm đầy đủ tệp (Excel/PDF/XML)</w:t>
            </w:r>
          </w:p>
        </w:tc>
      </w:tr>
      <w:tr>
        <w:tc>
          <w:tcPr/>
          <w:p>
            <w:pPr>
              <w:pStyle w:val="Compact"/>
            </w:pPr>
            <w:r>
              <w:t xml:space="preserve">Ngày 20</w:t>
            </w:r>
          </w:p>
        </w:tc>
        <w:tc>
          <w:tcPr/>
          <w:p>
            <w:pPr>
              <w:pStyle w:val="Compact"/>
            </w:pPr>
            <w:r>
              <w:t xml:space="preserve">Chuẩn bị kỳ lương: biến động nhân sự</w:t>
            </w:r>
          </w:p>
        </w:tc>
        <w:tc>
          <w:tcPr/>
          <w:p>
            <w:pPr>
              <w:pStyle w:val="Compact"/>
            </w:pPr>
            <w:r>
              <w:t xml:space="preserve">Xác nhận biến động, hoặc</w:t>
            </w:r>
            <w:r>
              <w:t xml:space="preserve"> </w:t>
            </w:r>
            <w:r>
              <w:t xml:space="preserve">“không có biến động”</w:t>
            </w:r>
          </w:p>
        </w:tc>
      </w:tr>
      <w:tr>
        <w:tc>
          <w:tcPr/>
          <w:p>
            <w:pPr>
              <w:pStyle w:val="Compact"/>
            </w:pPr>
            <w:r>
              <w:t xml:space="preserve">Ngày 15 &amp; 25</w:t>
            </w:r>
          </w:p>
        </w:tc>
        <w:tc>
          <w:tcPr/>
          <w:p>
            <w:pPr>
              <w:pStyle w:val="Compact"/>
            </w:pPr>
            <w:r>
              <w:t xml:space="preserve">Thông báo số tiền BHXH-BHYT-BHTN kèm C12</w:t>
            </w:r>
          </w:p>
        </w:tc>
        <w:tc>
          <w:tcPr/>
          <w:p>
            <w:pPr>
              <w:pStyle w:val="Compact"/>
            </w:pPr>
            <w:r>
              <w:t xml:space="preserve">Xem Mục 20.1</w:t>
            </w:r>
          </w:p>
        </w:tc>
      </w:tr>
    </w:tbl>
    <w:p>
      <w:pPr>
        <w:pStyle w:val="BodyText"/>
      </w:pPr>
      <w:r>
        <w:rPr>
          <w:b/>
          <w:bCs/>
        </w:rPr>
        <w:t xml:space="preserve">20.1. Đối soát BHXH (ngày 15 và ngày 25).</w:t>
      </w:r>
      <w:r>
        <w:t xml:space="preserve"> </w:t>
      </w:r>
      <w:r>
        <w:t xml:space="preserve">Email ngày 15 là</w:t>
      </w:r>
      <w:r>
        <w:t xml:space="preserve"> </w:t>
      </w:r>
      <w:r>
        <w:rPr>
          <w:b/>
          <w:bCs/>
        </w:rPr>
        <w:t xml:space="preserve">thông báo số tiền phải đóng</w:t>
      </w:r>
      <w:r>
        <w:t xml:space="preserve">. Email ngày 25 được gửi dưới hình thức</w:t>
      </w:r>
      <w:r>
        <w:t xml:space="preserve"> </w:t>
      </w:r>
      <w:r>
        <w:rPr>
          <w:b/>
          <w:bCs/>
        </w:rPr>
        <w:t xml:space="preserve">Thư đối soát</w:t>
      </w:r>
      <w:r>
        <w:t xml:space="preserve"> </w:t>
      </w:r>
      <w:r>
        <w:t xml:space="preserve">(không phải nhắc nợ lần hai):</w:t>
      </w:r>
    </w:p>
    <w:p>
      <w:pPr>
        <w:pStyle w:val="Compact"/>
        <w:numPr>
          <w:ilvl w:val="0"/>
          <w:numId w:val="1011"/>
        </w:numPr>
      </w:pPr>
      <w:r>
        <w:t xml:space="preserve">Nếu Quý Khách</w:t>
      </w:r>
      <w:r>
        <w:t xml:space="preserve"> </w:t>
      </w:r>
      <w:r>
        <w:rPr>
          <w:b/>
          <w:bCs/>
        </w:rPr>
        <w:t xml:space="preserve">đã nộp</w:t>
      </w:r>
      <w:r>
        <w:t xml:space="preserve"> </w:t>
      </w:r>
      <w:r>
        <w:t xml:space="preserve">sau ngày 15: phản hồi kèm</w:t>
      </w:r>
      <w:r>
        <w:t xml:space="preserve"> </w:t>
      </w:r>
      <w:r>
        <w:rPr>
          <w:b/>
          <w:bCs/>
        </w:rPr>
        <w:t xml:space="preserve">Ủy nhiệm chi (UNC)</w:t>
      </w:r>
      <w:r>
        <w:t xml:space="preserve"> </w:t>
      </w:r>
      <w:r>
        <w:t xml:space="preserve">để oBacker chủ động đối soát với cơ quan BHXH (do hệ thống BHXH thường có độ trễ cập nhật tính đến ngày 25).</w:t>
      </w:r>
    </w:p>
    <w:p>
      <w:pPr>
        <w:pStyle w:val="Compact"/>
        <w:numPr>
          <w:ilvl w:val="0"/>
          <w:numId w:val="1011"/>
        </w:numPr>
      </w:pPr>
      <w:r>
        <w:t xml:space="preserve">Nếu Quý Khách</w:t>
      </w:r>
      <w:r>
        <w:t xml:space="preserve"> </w:t>
      </w:r>
      <w:r>
        <w:rPr>
          <w:b/>
          <w:bCs/>
        </w:rPr>
        <w:t xml:space="preserve">chưa nộp</w:t>
      </w:r>
      <w:r>
        <w:t xml:space="preserve">: nộp đúng số tiền và đúng mã đơn vị mà oBacker nêu trong email, trước hạn của cơ quan BHXH (thường là ngày cuối tháng), để tránh phát sinh lãi chậm nộp.</w:t>
      </w:r>
    </w:p>
    <w:p>
      <w:pPr>
        <w:pStyle w:val="FirstParagraph"/>
      </w:pPr>
      <w:r>
        <w:t xml:space="preserve">Đây là 2 lần đối soát cho</w:t>
      </w:r>
      <w:r>
        <w:t xml:space="preserve"> </w:t>
      </w:r>
      <w:r>
        <w:rPr>
          <w:b/>
          <w:bCs/>
        </w:rPr>
        <w:t xml:space="preserve">cùng một số tiền của cùng một kỳ</w:t>
      </w:r>
      <w:r>
        <w:t xml:space="preserve">, không phải hai khoản phải đóng riêng biệt. Quý Khách đóng theo số tiền trong email, không đóng theo số trên C12 nếu hai số khác nhau (do độ trễ cập nhật của hệ thống BHXH).</w:t>
      </w:r>
    </w:p>
    <w:bookmarkEnd w:id="32"/>
    <w:bookmarkStart w:id="33" w:name="điều-21.-chấm-dứt-và-bàn-giao"/>
    <w:p>
      <w:pPr>
        <w:pStyle w:val="Heading2"/>
      </w:pPr>
      <w:r>
        <w:t xml:space="preserve">Điều 21. Chấm Dứt và Bàn Giao</w:t>
      </w:r>
    </w:p>
    <w:p>
      <w:pPr>
        <w:pStyle w:val="FirstParagraph"/>
      </w:pPr>
      <w:r>
        <w:t xml:space="preserve">Mỗi Bên có thể chấm dứt Dịch Vụ định kỳ (Kế toán &amp; Thuế, Nhân sự) bằng thông báo trước tối thiểu</w:t>
      </w:r>
      <w:r>
        <w:t xml:space="preserve"> </w:t>
      </w:r>
      <w:r>
        <w:rPr>
          <w:b/>
          <w:bCs/>
        </w:rPr>
        <w:t xml:space="preserve">30 ngày</w:t>
      </w:r>
      <w:r>
        <w:t xml:space="preserve"> </w:t>
      </w:r>
      <w:r>
        <w:t xml:space="preserve">(hoặc thời hạn khác ghi tại Đơn Đặt Hàng); Quý Khách thanh toán phí cho phần công việc đã thực hiện. oBacker bàn giao toàn bộ sổ sách, hồ sơ và thông tin đăng nhập hệ thống (định dạng Excel/PDF) trong vòng</w:t>
      </w:r>
      <w:r>
        <w:t xml:space="preserve"> </w:t>
      </w:r>
      <w:r>
        <w:rPr>
          <w:b/>
          <w:bCs/>
        </w:rPr>
        <w:t xml:space="preserve">15 Ngày Làm Việc</w:t>
      </w:r>
      <w:r>
        <w:t xml:space="preserve">; Quý Khách có 30 ngày để tải toàn bộ dữ liệu trước khi oBacker lưu trữ hoặc xóa theo quy định.</w:t>
      </w:r>
    </w:p>
    <w:bookmarkEnd w:id="33"/>
    <w:bookmarkStart w:id="34" w:name="điều-22.-điều-khoản-nạp-ví"/>
    <w:p>
      <w:pPr>
        <w:pStyle w:val="Heading2"/>
      </w:pPr>
      <w:r>
        <w:t xml:space="preserve">Điều 22. Điều Khoản Nạp Ví</w:t>
      </w:r>
    </w:p>
    <w:p>
      <w:pPr>
        <w:pStyle w:val="FirstParagraph"/>
      </w:pPr>
      <w:r>
        <w:t xml:space="preserve">Khi Quý Khách sử dụng chức năng nạp ví, áp dụng bổ sung</w:t>
      </w:r>
      <w:r>
        <w:t xml:space="preserve"> </w:t>
      </w:r>
      <w:r>
        <w:rPr>
          <w:b/>
          <w:bCs/>
        </w:rPr>
        <w:t xml:space="preserve">Điều Khoản Nạp Ví</w:t>
      </w:r>
      <w:r>
        <w:t xml:space="preserve"> </w:t>
      </w:r>
      <w:r>
        <w:t xml:space="preserve">(tài liệu riêng). Tóm tắt: khoản nạp ví được ghi nhận là</w:t>
      </w:r>
      <w:r>
        <w:t xml:space="preserve"> </w:t>
      </w:r>
      <w:r>
        <w:rPr>
          <w:b/>
          <w:bCs/>
        </w:rPr>
        <w:t xml:space="preserve">phiếu mua hàng trả trước</w:t>
      </w:r>
      <w:r>
        <w:t xml:space="preserve"> </w:t>
      </w:r>
      <w:r>
        <w:t xml:space="preserve">(không phải tạm ứng/đặt cọc), có hiệu lực</w:t>
      </w:r>
      <w:r>
        <w:t xml:space="preserve"> </w:t>
      </w:r>
      <w:r>
        <w:rPr>
          <w:b/>
          <w:bCs/>
        </w:rPr>
        <w:t xml:space="preserve">24 tháng</w:t>
      </w:r>
      <w:r>
        <w:t xml:space="preserve">, chỉ dùng thanh toán dịch vụ oBacker,</w:t>
      </w:r>
      <w:r>
        <w:t xml:space="preserve"> </w:t>
      </w:r>
      <w:r>
        <w:rPr>
          <w:b/>
          <w:bCs/>
        </w:rPr>
        <w:t xml:space="preserve">không hoàn lại và không chuyển nhượng</w:t>
      </w:r>
      <w:r>
        <w:t xml:space="preserve"> </w:t>
      </w:r>
      <w:r>
        <w:t xml:space="preserve">(trừ khi pháp luật quy định khác hoặc có thỏa thuận bằng văn bản). Hóa đơn GTGT chỉ xuất khi dịch vụ được thực hiện, không xuất tại thời điểm nạp. Số nạp tối thiểu 1.000.000đ/giao dịch.</w:t>
      </w:r>
    </w:p>
    <w:p>
      <w:r>
        <w:pict>
          <v:rect style="width:0;height:1.5pt" o:hralign="center" o:hrstd="t" o:hr="t"/>
        </w:pict>
      </w:r>
    </w:p>
    <w:bookmarkEnd w:id="34"/>
    <w:bookmarkEnd w:id="35"/>
    <w:bookmarkStart w:id="37" w:name="X079c11654a171b880cf95c3277e506906fb9272"/>
    <w:p>
      <w:pPr>
        <w:pStyle w:val="Heading1"/>
      </w:pPr>
      <w:r>
        <w:t xml:space="preserve">PHẦN C; DẪN CHIẾU CHÍNH SÁCH DỮ LIỆU CÁ NHÂN</w:t>
      </w:r>
    </w:p>
    <w:p>
      <w:pPr>
        <w:pStyle w:val="FirstParagraph"/>
      </w:pPr>
      <w:r>
        <w:t xml:space="preserve">Việc xử lý dữ liệu cá nhân của cá nhân liên quan (người đại diện, người liên hệ, người lao động, cổ đông của Quý Khách, người dùng website) tuân thủ</w:t>
      </w:r>
      <w:r>
        <w:t xml:space="preserve"> </w:t>
      </w:r>
      <w:r>
        <w:rPr>
          <w:b/>
          <w:bCs/>
        </w:rPr>
        <w:t xml:space="preserve">Chính Sách Bảo Vệ Dữ Liệu Cá Nhân</w:t>
      </w:r>
      <w:r>
        <w:t xml:space="preserve"> </w:t>
      </w:r>
      <w:r>
        <w:t xml:space="preserve">của oBacker (bao gồm phần quy định riêng cho dữ liệu nhạy cảm: tài chính, lương, BHXH, sức khỏe, sinh trắc học…). Trường hợp mâu thuẫn về dữ liệu nhạy cảm, phần quy định về dữ liệu nhạy cảm được ưu tiên áp dụng.</w:t>
      </w:r>
    </w:p>
    <w:p>
      <w:pPr>
        <w:pStyle w:val="BodyText"/>
      </w:pPr>
      <w:r>
        <w:t xml:space="preserve">Cơ sở pháp lý: Luật BVDLCN 91/2025/QH15, Nghị định 356/2025/NĐ-CP. Đầu mối DPO:</w:t>
      </w:r>
      <w:r>
        <w:t xml:space="preserve"> </w:t>
      </w:r>
      <w:r>
        <w:rPr>
          <w:b/>
          <w:bCs/>
        </w:rPr>
        <w:t xml:space="preserve">privacy@obacker.com</w:t>
      </w:r>
      <w:r>
        <w:t xml:space="preserve">.</w:t>
      </w:r>
    </w:p>
    <w:p>
      <w:pPr>
        <w:pStyle w:val="BodyText"/>
      </w:pPr>
      <w:r>
        <w:t xml:space="preserve">Khi oBacker xử lý dữ liệu của người lao động/cổ đông của Quý Khách theo chỉ dẫn của Quý Khách,</w:t>
      </w:r>
      <w:r>
        <w:t xml:space="preserve"> </w:t>
      </w:r>
      <w:r>
        <w:rPr>
          <w:b/>
          <w:bCs/>
        </w:rPr>
        <w:t xml:space="preserve">Quý Khách là Bên Kiểm soát dữ liệu chính</w:t>
      </w:r>
      <w:r>
        <w:t xml:space="preserve"> </w:t>
      </w:r>
      <w:r>
        <w:t xml:space="preserve">và có trách nhiệm thông báo, thu thập sự đồng ý của chủ thể dữ liệu trước khi cung cấp cho oBacker; oBacker đóng vai trò Bên Xử lý/Bên Kiểm soát-Xử lý theo Hợp Đồng.</w:t>
      </w:r>
    </w:p>
    <w:p>
      <w:r>
        <w:pict>
          <v:rect style="width:0;height:1.5pt" o:hralign="center" o:hrstd="t" o:hr="t"/>
        </w:pict>
      </w:r>
    </w:p>
    <w:p>
      <w:pPr>
        <w:pStyle w:val="FirstParagraph"/>
      </w:pPr>
      <w:r>
        <w:rPr>
          <w:i/>
          <w:iCs/>
        </w:rPr>
        <w:t xml:space="preserve">Tài liệu này đi kèm với Đơn Đặt Hàng và chỉ có giá trị khi được sử dụng cùng Đơn Đặt Hàng đó.</w:t>
      </w:r>
    </w:p>
    <w:p>
      <w:pPr>
        <w:pStyle w:val="BodyText"/>
      </w:pPr>
      <w:r>
        <w:rPr>
          <w:b/>
          <w:bCs/>
        </w:rPr>
        <w:t xml:space="preserve">oBacker © 2026 · Công ty Cổ phần oBacker · MST: 0402298185 · contact@obacker.com · www.obacker.com</w:t>
      </w:r>
    </w:p>
    <w:p>
      <w:r>
        <w:pict>
          <v:rect style="width:0;height:1.5pt" o:hralign="center" o:hrstd="t" o:hr="t"/>
        </w:pict>
      </w:r>
    </w:p>
    <w:p>
      <w:pPr>
        <w:pStyle w:val="FirstParagraph"/>
      </w:pPr>
      <w:r>
        <w:rPr>
          <w:i/>
          <w:iCs/>
        </w:rPr>
        <w:t xml:space="preserve">Người sở hữu tài liệu: Ban biên soạn oBacker. Mọi thay đổi phải ghi vào Nhật ký sửa.</w:t>
      </w:r>
    </w:p>
    <w:bookmarkStart w:id="36" w:name="nhật-ký-sửa"/>
    <w:p>
      <w:pPr>
        <w:pStyle w:val="Heading2"/>
      </w:pPr>
      <w:r>
        <w:t xml:space="preserve">NHẬT KÝ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Ngày</w:t>
            </w:r>
          </w:p>
        </w:tc>
        <w:tc>
          <w:tcPr/>
          <w:p>
            <w:pPr>
              <w:pStyle w:val="Compact"/>
            </w:pPr>
            <w:r>
              <w:t xml:space="preserve">Bản</w:t>
            </w:r>
          </w:p>
        </w:tc>
        <w:tc>
          <w:tcPr/>
          <w:p>
            <w:pPr>
              <w:pStyle w:val="Compact"/>
            </w:pPr>
            <w:r>
              <w:t xml:space="preserve">Nội dung</w:t>
            </w:r>
          </w:p>
        </w:tc>
      </w:tr>
      <w:tr>
        <w:tc>
          <w:tcPr/>
          <w:p>
            <w:pPr>
              <w:pStyle w:val="Compact"/>
            </w:pPr>
            <w:r>
              <w:t xml:space="preserve">21/09/2026</w:t>
            </w:r>
          </w:p>
        </w:tc>
        <w:tc>
          <w:tcPr/>
          <w:p>
            <w:pPr>
              <w:pStyle w:val="Compact"/>
            </w:pPr>
            <w:r>
              <w:t xml:space="preserve">R.1.0.0</w:t>
            </w:r>
          </w:p>
        </w:tc>
        <w:tc>
          <w:tcPr/>
          <w:p>
            <w:pPr>
              <w:pStyle w:val="Compact"/>
            </w:pPr>
            <w:r>
              <w:t xml:space="preserve">Ban hành.</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KHOẢN VÀ ĐIỀU KIỆN DỊCH VỤ (BẢN ĐIỀU KHOẢN CHUNG)</dc:title>
  <dc:creator/>
  <dc:language>vi-VN</dc:language>
  <cp:keywords/>
  <dcterms:created xsi:type="dcterms:W3CDTF">2026-09-21T06:40:01Z</dcterms:created>
  <dcterms:modified xsi:type="dcterms:W3CDTF">2026-09-21T06:40:01Z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ribution">
    <vt:lpwstr>khách hàng</vt:lpwstr>
  </property>
  <property fmtid="{D5CDD505-2E9C-101B-9397-08002B2CF9AE}" pid="3" name="folder">
    <vt:lpwstr>09_TnC</vt:lpwstr>
  </property>
  <property fmtid="{D5CDD505-2E9C-101B-9397-08002B2CF9AE}" pid="4" name="language">
    <vt:lpwstr>vi</vt:lpwstr>
  </property>
  <property fmtid="{D5CDD505-2E9C-101B-9397-08002B2CF9AE}" pid="5" name="previous_version">
    <vt:lpwstr/>
  </property>
  <property fmtid="{D5CDD505-2E9C-101B-9397-08002B2CF9AE}" pid="6" name="status">
    <vt:lpwstr>đang áp dụng</vt:lpwstr>
  </property>
  <property fmtid="{D5CDD505-2E9C-101B-9397-08002B2CF9AE}" pid="7" name="tags">
    <vt:lpwstr/>
  </property>
  <property fmtid="{D5CDD505-2E9C-101B-9397-08002B2CF9AE}" pid="8" name="type">
    <vt:lpwstr>tnc</vt:lpwstr>
  </property>
  <property fmtid="{D5CDD505-2E9C-101B-9397-08002B2CF9AE}" pid="9" name="version">
    <vt:lpwstr>R.1.0.0</vt:lpwstr>
  </property>
</Properties>
</file>