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ĐIỀU KHOẢN DỊCH VỤ XIN GIẤY PHÉP (PL-GP)</w:t>
      </w:r>
    </w:p>
    <w:bookmarkStart w:id="20" w:name="điều-khoản-dịch-vụ-xin-giấy-phép-pl-gp"/>
    <w:p>
      <w:pPr>
        <w:pStyle w:val="Heading1"/>
      </w:pPr>
      <w:r>
        <w:t xml:space="preserve">ĐIỀU KHOẢN DỊCH VỤ XIN GIẤY PHÉP (PL-GP)</w:t>
      </w:r>
    </w:p>
    <w:bookmarkStart w:id="9" w:name="điều-khoản-dịch-vụ-cụ-thể"/>
    <w:p>
      <w:pPr>
        <w:pStyle w:val="Heading2"/>
      </w:pPr>
      <w:r>
        <w:t xml:space="preserve">Điều khoản dịch vụ cụ thể</w:t>
      </w:r>
    </w:p>
    <w:p>
      <w:pPr>
        <w:pStyle w:val="FirstParagraph"/>
      </w:pPr>
      <w:r>
        <w:rPr>
          <w:i/>
          <w:iCs/>
        </w:rPr>
        <w:t xml:space="preserve">Điều Khoản Dịch Vụ Cụ Thể, bộ phận không tách rời của Bản Điều Khoản Chung; Công ty Cổ phần oBacker</w:t>
      </w:r>
      <w:r>
        <w:t xml:space="preserve"> </w:t>
      </w:r>
      <w:r>
        <w:t xml:space="preserve">MST: 0402298185 · Tầng 2, 06 Trần Phú, Phường Hải Châu, Thành phố Đà Nẵng · contact@obacker.com</w:t>
      </w:r>
    </w:p>
    <w:p>
      <w:pPr>
        <w:pStyle w:val="BodyText"/>
      </w:pPr>
      <w:r>
        <w:rPr>
          <w:b/>
          <w:bCs/>
        </w:rPr>
        <w:t xml:space="preserve">Phiên bản:</w:t>
      </w:r>
      <w:r>
        <w:t xml:space="preserve"> </w:t>
      </w:r>
      <w:r>
        <w:t xml:space="preserve">R.1.0.0 ·</w:t>
      </w:r>
      <w:r>
        <w:t xml:space="preserve"> </w:t>
      </w:r>
      <w:r>
        <w:rPr>
          <w:b/>
          <w:bCs/>
        </w:rPr>
        <w:t xml:space="preserve">Cập nhật:</w:t>
      </w:r>
      <w:r>
        <w:t xml:space="preserve"> </w:t>
      </w:r>
      <w:r>
        <w:t xml:space="preserve">21/09/2026</w:t>
      </w:r>
    </w:p>
    <w:p>
      <w:pPr>
        <w:pStyle w:val="BlockText"/>
      </w:pPr>
      <w:r>
        <w:t xml:space="preserve">Tài liệu này là Điều Khoản Dịch Vụ Cụ Thể cho Dịch Vụ Xin Giấy Phép (</w:t>
      </w:r>
      <w:r>
        <w:t xml:space="preserve">“</w:t>
      </w:r>
      <w:r>
        <w:rPr>
          <w:b/>
          <w:bCs/>
        </w:rPr>
        <w:t xml:space="preserve">Dịch Vụ</w:t>
      </w:r>
      <w:r>
        <w:t xml:space="preserve">”</w:t>
      </w:r>
      <w:r>
        <w:t xml:space="preserve">), áp dụng khi Dịch Vụ được ghi nhận tại Đơn Đặt Hàng.</w:t>
      </w:r>
      <w:r>
        <w:t xml:space="preserve"> </w:t>
      </w:r>
      <w:r>
        <w:rPr>
          <w:b/>
          <w:bCs/>
        </w:rPr>
        <w:t xml:space="preserve">Nếu có khác biệt giữa Bản Điều Khoản Chung và tài liệu này, tài liệu này được ưu tiên áp dụng cho Dịch Vụ.</w:t>
      </w:r>
      <w:r>
        <w:t xml:space="preserve"> </w:t>
      </w:r>
      <w:r>
        <w:t xml:space="preserve">Những nội dung không quy định riêng tại đây áp dụng theo Bản Điều Khoản Chung.</w:t>
      </w:r>
    </w:p>
    <w:p>
      <w:r>
        <w:pict>
          <v:rect style="width:0;height:1.5pt" o:hralign="center" o:hrstd="t" o:hr="t"/>
        </w:pict>
      </w:r>
    </w:p>
    <w:bookmarkEnd w:id="9"/>
    <w:bookmarkStart w:id="10" w:name="điều-1.-định-nghĩa-và-phạm-vi-áp-dụng"/>
    <w:p>
      <w:pPr>
        <w:pStyle w:val="Heading2"/>
      </w:pPr>
      <w:r>
        <w:t xml:space="preserve">Điều 1. Định nghĩa và phạm vi áp dụng</w:t>
      </w:r>
    </w:p>
    <w:p>
      <w:pPr>
        <w:pStyle w:val="FirstParagraph"/>
      </w:pPr>
      <w:r>
        <w:t xml:space="preserve">oBacker hỗ trợ Quý Khách thực hiện các thủ tục liên quan đến Giấy Phép: chuẩn bị hồ sơ, nộp hồ sơ tại cơ quan nhà nước, theo dõi tiến trình và tiếp nhận kết quả (cấp mới, gia hạn, điều chỉnh hoặc thủ tục khác). oBacker thực hiện thủ tục nhân danh Quý Khách, từ khâu chuẩn bị hồ sơ đến khi có kết quả.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Định nghĩa</w:t>
            </w:r>
          </w:p>
        </w:tc>
      </w:tr>
      <w:tr>
        <w:tc>
          <w:tcPr/>
          <w:p>
            <w:pPr>
              <w:pStyle w:val="Compact"/>
            </w:pPr>
            <w:r>
              <w:rPr>
                <w:b/>
                <w:bCs/>
              </w:rPr>
              <w:t xml:space="preserve">Hồ Sơ</w:t>
            </w:r>
          </w:p>
        </w:tc>
        <w:tc>
          <w:tcPr/>
          <w:p>
            <w:pPr>
              <w:pStyle w:val="Compact"/>
            </w:pPr>
            <w:r>
              <w:t xml:space="preserve">Toàn bộ tài liệu cần thiết để thực hiện một thủ tục về Giấy Phép.</w:t>
            </w:r>
          </w:p>
        </w:tc>
      </w:tr>
      <w:tr>
        <w:tc>
          <w:tcPr/>
          <w:p>
            <w:pPr>
              <w:pStyle w:val="Compact"/>
            </w:pPr>
            <w:r>
              <w:rPr>
                <w:b/>
                <w:bCs/>
              </w:rPr>
              <w:t xml:space="preserve">Danh Mục Hồ Sơ</w:t>
            </w:r>
          </w:p>
        </w:tc>
        <w:tc>
          <w:tcPr/>
          <w:p>
            <w:pPr>
              <w:pStyle w:val="Compact"/>
            </w:pPr>
            <w:r>
              <w:t xml:space="preserve">Bảng do oBacker lập cho từng thủ tục, phân định rõ tài liệu do oBacker soạn thảo và tài liệu do Quý Khách tự chuẩn bị.</w:t>
            </w:r>
          </w:p>
        </w:tc>
      </w:tr>
      <w:tr>
        <w:tc>
          <w:tcPr/>
          <w:p>
            <w:pPr>
              <w:pStyle w:val="Compact"/>
            </w:pPr>
            <w:r>
              <w:rPr>
                <w:b/>
                <w:bCs/>
              </w:rPr>
              <w:t xml:space="preserve">Giấy Phép</w:t>
            </w:r>
          </w:p>
        </w:tc>
        <w:tc>
          <w:tcPr/>
          <w:p>
            <w:pPr>
              <w:pStyle w:val="Compact"/>
            </w:pPr>
            <w:r>
              <w:t xml:space="preserve">Bất kỳ giấy chứng nhận, giấy phép, thông báo hoặc tài liệu tương tự mang tính công nhận, cho phép hoặc xác nhận do cơ quan nhà nước cấp.</w:t>
            </w:r>
          </w:p>
        </w:tc>
      </w:tr>
    </w:tbl>
    <w:bookmarkEnd w:id="10"/>
    <w:bookmarkStart w:id="11" w:name="điều-2.-phạm-vi-dịch-vụ"/>
    <w:p>
      <w:pPr>
        <w:pStyle w:val="Heading2"/>
      </w:pPr>
      <w:r>
        <w:t xml:space="preserve">Điều 2. Phạm vi Dịch Vụ</w:t>
      </w:r>
    </w:p>
    <w:p>
      <w:pPr>
        <w:pStyle w:val="Compact"/>
        <w:numPr>
          <w:ilvl w:val="0"/>
          <w:numId w:val="1001"/>
        </w:numPr>
      </w:pPr>
      <w:r>
        <w:t xml:space="preserve">Lập Danh Mục Hồ Sơ cho từng loại Giấy Phép, xác định rõ tài liệu do oBacker soạn thảo và tài liệu do Quý Khách chuẩn bị</w:t>
      </w:r>
    </w:p>
    <w:p>
      <w:pPr>
        <w:pStyle w:val="Compact"/>
        <w:numPr>
          <w:ilvl w:val="0"/>
          <w:numId w:val="1001"/>
        </w:numPr>
      </w:pPr>
      <w:r>
        <w:t xml:space="preserve">Soạn thảo đơn, tờ khai và biểu mẫu theo quy định pháp luật</w:t>
      </w:r>
    </w:p>
    <w:p>
      <w:pPr>
        <w:pStyle w:val="Compact"/>
        <w:numPr>
          <w:ilvl w:val="0"/>
          <w:numId w:val="1001"/>
        </w:numPr>
      </w:pPr>
      <w:r>
        <w:t xml:space="preserve">Hướng dẫn Quý Khách chuẩn bị tài liệu nội bộ, thực hiện công chứng, chứng thực hoặc hợp pháp hóa lãnh sự khi cần</w:t>
      </w:r>
    </w:p>
    <w:p>
      <w:pPr>
        <w:pStyle w:val="Compact"/>
        <w:numPr>
          <w:ilvl w:val="0"/>
          <w:numId w:val="1001"/>
        </w:numPr>
      </w:pPr>
      <w:r>
        <w:t xml:space="preserve">Nộp hồ sơ tại cơ quan có thẩm quyền và theo dõi tiến trình xử lý</w:t>
      </w:r>
    </w:p>
    <w:p>
      <w:pPr>
        <w:pStyle w:val="Compact"/>
        <w:numPr>
          <w:ilvl w:val="0"/>
          <w:numId w:val="1001"/>
        </w:numPr>
      </w:pPr>
      <w:r>
        <w:t xml:space="preserve">Thông báo ngay khi cơ quan có thẩm quyền yêu cầu bổ sung, kèm hướng dẫn thực hiện</w:t>
      </w:r>
    </w:p>
    <w:p>
      <w:pPr>
        <w:pStyle w:val="Compact"/>
        <w:numPr>
          <w:ilvl w:val="0"/>
          <w:numId w:val="1001"/>
        </w:numPr>
      </w:pPr>
      <w:r>
        <w:t xml:space="preserve">Tiếp nhận kết quả và bàn giao cho Quý Khách.</w:t>
      </w:r>
    </w:p>
    <w:bookmarkEnd w:id="11"/>
    <w:bookmarkStart w:id="12" w:name="điều-3.-giới-hạn-phạm-vi-dịch-vụ"/>
    <w:p>
      <w:pPr>
        <w:pStyle w:val="Heading2"/>
      </w:pPr>
      <w:r>
        <w:t xml:space="preserve">Điều 3. Giới hạn phạm vi Dịch Vụ</w:t>
      </w:r>
    </w:p>
    <w:p>
      <w:pPr>
        <w:pStyle w:val="FirstParagraph"/>
      </w:pPr>
      <w:r>
        <w:rPr>
          <w:b/>
          <w:bCs/>
        </w:rPr>
        <w:t xml:space="preserve">3.1. Tài liệu do Quý Khách tự chuẩn bị.</w:t>
      </w:r>
      <w:r>
        <w:t xml:space="preserve"> </w:t>
      </w:r>
      <w:r>
        <w:t xml:space="preserve">Quý Khách chịu trách nhiệm chuẩn bị và cung cấp các tài liệu mang tính nội bộ hoặc đặc thù, bao gồm nhưng không giới hạn: báo cáo tài chính, hồ sơ năng lực, tài liệu kỹ thuật, hồ sơ nhân sự và giấy tờ cá nhân. oBacker hướng dẫn cụ thể yêu cầu đối với từng tài liệu.</w:t>
      </w:r>
    </w:p>
    <w:p>
      <w:pPr>
        <w:pStyle w:val="BodyText"/>
      </w:pPr>
      <w:r>
        <w:rPr>
          <w:b/>
          <w:bCs/>
        </w:rPr>
        <w:t xml:space="preserve">3.2. Tài liệu nội dung và chiến lược.</w:t>
      </w:r>
      <w:r>
        <w:t xml:space="preserve"> </w:t>
      </w:r>
      <w:r>
        <w:t xml:space="preserve">Với các tài liệu mang tính nội dung và chiến lược của doanh nghiệp (kế hoạch kinh doanh, bản thuyết minh dự án, hồ sơ năng lực, thuyết minh kỹ thuật), oBacker hướng dẫn, rà soát và góp ý dựa trên thông tin Quý Khách cung cấp; tuy nhiên</w:t>
      </w:r>
      <w:r>
        <w:t xml:space="preserve"> </w:t>
      </w:r>
      <w:r>
        <w:rPr>
          <w:b/>
          <w:bCs/>
        </w:rPr>
        <w:t xml:space="preserve">Quý Khách chịu trách nhiệm chính về tính chính xác và đầy đủ của phiên bản cuối cùng</w:t>
      </w:r>
      <w:r>
        <w:t xml:space="preserve">. Các góp ý, sửa đổi của oBacker chỉ mang tính tham khảo. Phí Dịch Vụ chi trả cho việc chuẩn bị hồ sơ thủ tục và hướng dẫn quy trình; phần nội dung phản ánh hiểu biết và định hướng của chính Quý Khách.</w:t>
      </w:r>
    </w:p>
    <w:p>
      <w:pPr>
        <w:pStyle w:val="BodyText"/>
      </w:pPr>
      <w:r>
        <w:rPr>
          <w:b/>
          <w:bCs/>
        </w:rPr>
        <w:t xml:space="preserve">3.3. Công chứng, chứng thực và hợp pháp hóa lãnh sự.</w:t>
      </w:r>
      <w:r>
        <w:t xml:space="preserve"> </w:t>
      </w:r>
      <w:r>
        <w:t xml:space="preserve">Quý Khách tự thực hiện công chứng, chứng thực, sao y bản chính hoặc hợp pháp hóa lãnh sự (đối với tài liệu nước ngoài) và cung cấp bản hợp lệ cho oBacker. oBacker hướng dẫn yêu cầu và địa điểm thực hiện.</w:t>
      </w:r>
    </w:p>
    <w:p>
      <w:pPr>
        <w:pStyle w:val="BodyText"/>
      </w:pPr>
      <w:r>
        <w:rPr>
          <w:b/>
          <w:bCs/>
        </w:rPr>
        <w:t xml:space="preserve">3.4. Kết quả thuộc thẩm quyền cơ quan nhà nước.</w:t>
      </w:r>
      <w:r>
        <w:t xml:space="preserve"> </w:t>
      </w:r>
      <w:r>
        <w:t xml:space="preserve">Việc cấp phép, phê duyệt, thời hạn xử lý và yêu cầu bổ sung thuộc</w:t>
      </w:r>
      <w:r>
        <w:t xml:space="preserve"> </w:t>
      </w:r>
      <w:r>
        <w:rPr>
          <w:b/>
          <w:bCs/>
        </w:rPr>
        <w:t xml:space="preserve">thẩm quyền tuyệt đối của cơ quan nhà nước</w:t>
      </w:r>
      <w:r>
        <w:t xml:space="preserve">. oBacker chuẩn bị hồ sơ đầy đủ và phù hợp quy định pháp luật, nhưng không bảo đảm kết quả cấp phép.</w:t>
      </w:r>
    </w:p>
    <w:p>
      <w:pPr>
        <w:pStyle w:val="BodyText"/>
      </w:pPr>
      <w:r>
        <w:rPr>
          <w:b/>
          <w:bCs/>
        </w:rPr>
        <w:t xml:space="preserve">3.5. Phạm vi dịch vụ không bao gồm tư vấn.</w:t>
      </w:r>
      <w:r>
        <w:t xml:space="preserve"> </w:t>
      </w:r>
      <w:r>
        <w:t xml:space="preserve">Dịch Vụ giới hạn trong phạm vi thực hiện thủ tục hành chính và</w:t>
      </w:r>
      <w:r>
        <w:t xml:space="preserve"> </w:t>
      </w:r>
      <w:r>
        <w:rPr>
          <w:b/>
          <w:bCs/>
        </w:rPr>
        <w:t xml:space="preserve">không bao gồm tư vấn doanh nghiệp hoặc tư vấn chuyên sâu về thuế, tài chính</w:t>
      </w:r>
      <w:r>
        <w:t xml:space="preserve">. Cụ thể:</w:t>
      </w:r>
    </w:p>
    <w:p>
      <w:pPr>
        <w:pStyle w:val="Compact"/>
        <w:numPr>
          <w:ilvl w:val="0"/>
          <w:numId w:val="1002"/>
        </w:numPr>
      </w:pPr>
      <w:r>
        <w:rPr>
          <w:b/>
          <w:bCs/>
        </w:rPr>
        <w:t xml:space="preserve">(a) Thành lập công ty, bổ sung ngành nghề kinh doanh:</w:t>
      </w:r>
      <w:r>
        <w:t xml:space="preserve"> </w:t>
      </w:r>
      <w:r>
        <w:t xml:space="preserve">không bao gồm tư vấn về điều kiện kinh doanh, mô hình kinh doanh hoặc sự phù hợp của ngành nghề theo quy định pháp luật.</w:t>
      </w:r>
    </w:p>
    <w:p>
      <w:pPr>
        <w:pStyle w:val="Compact"/>
        <w:numPr>
          <w:ilvl w:val="0"/>
          <w:numId w:val="1002"/>
        </w:numPr>
      </w:pPr>
      <w:r>
        <w:rPr>
          <w:b/>
          <w:bCs/>
        </w:rPr>
        <w:t xml:space="preserve">(b) Công nhận doanh nghiệp khởi nghiệp sáng tạo:</w:t>
      </w:r>
      <w:r>
        <w:t xml:space="preserve"> </w:t>
      </w:r>
      <w:r>
        <w:t xml:space="preserve">không bao gồm tư vấn về các khoản doanh thu được miễn thuế, cấu trúc dòng tiền, tối ưu hóa chi phí, các vấn đề tài chính; thuế, sở hữu trí tuệ, công nghệ liên quan.</w:t>
      </w:r>
    </w:p>
    <w:p>
      <w:pPr>
        <w:pStyle w:val="FirstParagraph"/>
      </w:pPr>
      <w:r>
        <w:t xml:space="preserve">Khi Quý Khách có nhu cầu tư vấn chuyên sâu, áp dụng</w:t>
      </w:r>
      <w:r>
        <w:t xml:space="preserve"> </w:t>
      </w:r>
      <w:r>
        <w:rPr>
          <w:b/>
          <w:bCs/>
        </w:rPr>
        <w:t xml:space="preserve">Dịch Vụ Pháp Lý (PL-PL)</w:t>
      </w:r>
      <w:r>
        <w:t xml:space="preserve"> </w:t>
      </w:r>
      <w:r>
        <w:t xml:space="preserve">theo báo giá riêng.</w:t>
      </w:r>
    </w:p>
    <w:bookmarkEnd w:id="12"/>
    <w:bookmarkStart w:id="13" w:name="điều-4.-nguyên-tắc-thực-hiện-và-phối-hợp"/>
    <w:p>
      <w:pPr>
        <w:pStyle w:val="Heading2"/>
      </w:pPr>
      <w:r>
        <w:t xml:space="preserve">Điều 4. Nguyên tắc thực hiện và phối hợp</w:t>
      </w:r>
    </w:p>
    <w:p>
      <w:pPr>
        <w:pStyle w:val="Compact"/>
        <w:numPr>
          <w:ilvl w:val="0"/>
          <w:numId w:val="1003"/>
        </w:numPr>
      </w:pPr>
      <w:r>
        <w:rPr>
          <w:b/>
          <w:bCs/>
        </w:rPr>
        <w:t xml:space="preserve">Nguyên tắc Đúng; Đủ hồ sơ:</w:t>
      </w:r>
      <w:r>
        <w:t xml:space="preserve"> </w:t>
      </w:r>
      <w:r>
        <w:t xml:space="preserve">oBacker nộp hồ sơ sau khi Quý Khách đã cung cấp đầy đủ tài liệu theo Danh Mục Hồ Sơ, nhằm hạn chế việc hồ sơ bị trả lại</w:t>
      </w:r>
    </w:p>
    <w:p>
      <w:pPr>
        <w:pStyle w:val="Compact"/>
        <w:numPr>
          <w:ilvl w:val="0"/>
          <w:numId w:val="1003"/>
        </w:numPr>
      </w:pPr>
      <w:r>
        <w:rPr>
          <w:b/>
          <w:bCs/>
        </w:rPr>
        <w:t xml:space="preserve">Nguyên tắc tin cậy thông tin:</w:t>
      </w:r>
      <w:r>
        <w:t xml:space="preserve"> </w:t>
      </w:r>
      <w:r>
        <w:t xml:space="preserve">oBacker thực hiện trên cơ sở tin tưởng tài liệu Quý Khách cung cấp là trung thực và hợp pháp, và không có nghĩa vụ điều tra, xác minh tính xác thực của tài liệu (Điều 3 Bản Điều Khoản Chung)</w:t>
      </w:r>
    </w:p>
    <w:p>
      <w:pPr>
        <w:pStyle w:val="Compact"/>
        <w:numPr>
          <w:ilvl w:val="0"/>
          <w:numId w:val="1003"/>
        </w:numPr>
      </w:pPr>
      <w:r>
        <w:rPr>
          <w:b/>
          <w:bCs/>
        </w:rPr>
        <w:t xml:space="preserve">Nguyên tắc phối hợp:</w:t>
      </w:r>
      <w:r>
        <w:t xml:space="preserve"> </w:t>
      </w:r>
      <w:r>
        <w:t xml:space="preserve">khi cơ quan có thẩm quyền yêu cầu bổ sung, Quý Khách cung cấp tài liệu trong thời hạn được ấn định. Nếu hồ sơ bị trả lại hoặc kéo dài do tài liệu thiếu, sai hoặc chậm từ phía Quý Khách, oBacker không chịu trách nhiệm.</w:t>
      </w:r>
    </w:p>
    <w:bookmarkEnd w:id="13"/>
    <w:bookmarkStart w:id="14" w:name="điều-5.-quy-trình-thực-hiện"/>
    <w:p>
      <w:pPr>
        <w:pStyle w:val="Heading2"/>
      </w:pPr>
      <w:r>
        <w:t xml:space="preserve">Điều 5. Quy trình thực hiện</w:t>
      </w:r>
    </w:p>
    <w:p>
      <w:pPr>
        <w:pStyle w:val="Compact"/>
        <w:numPr>
          <w:ilvl w:val="0"/>
          <w:numId w:val="1004"/>
        </w:numPr>
      </w:pPr>
      <w:r>
        <w:rPr>
          <w:b/>
          <w:bCs/>
        </w:rPr>
        <w:t xml:space="preserve">Lập Danh Mục Hồ Sơ:</w:t>
      </w:r>
      <w:r>
        <w:t xml:space="preserve"> </w:t>
      </w:r>
      <w:r>
        <w:t xml:space="preserve">oBacker tiếp nhận yêu cầu và gửi Danh Mục Hồ Sơ chi tiết</w:t>
      </w:r>
    </w:p>
    <w:p>
      <w:pPr>
        <w:pStyle w:val="Compact"/>
        <w:numPr>
          <w:ilvl w:val="0"/>
          <w:numId w:val="1004"/>
        </w:numPr>
      </w:pPr>
      <w:r>
        <w:rPr>
          <w:b/>
          <w:bCs/>
        </w:rPr>
        <w:t xml:space="preserve">Chuẩn bị và hoàn thiện:</w:t>
      </w:r>
      <w:r>
        <w:t xml:space="preserve"> </w:t>
      </w:r>
      <w:r>
        <w:t xml:space="preserve">Quý Khách chuẩn bị phần tài liệu của mình; oBacker soạn biểu mẫu, tổng hợp hồ sơ và gửi Quý Khách rà soát</w:t>
      </w:r>
    </w:p>
    <w:p>
      <w:pPr>
        <w:pStyle w:val="Compact"/>
        <w:numPr>
          <w:ilvl w:val="0"/>
          <w:numId w:val="1004"/>
        </w:numPr>
      </w:pPr>
      <w:r>
        <w:rPr>
          <w:b/>
          <w:bCs/>
        </w:rPr>
        <w:t xml:space="preserve">Nộp và theo dõi:</w:t>
      </w:r>
      <w:r>
        <w:t xml:space="preserve"> </w:t>
      </w:r>
      <w:r>
        <w:t xml:space="preserve">oBacker nộp hồ sơ, theo dõi tiến trình và thông báo khi cần bổ sung</w:t>
      </w:r>
    </w:p>
    <w:p>
      <w:pPr>
        <w:pStyle w:val="Compact"/>
        <w:numPr>
          <w:ilvl w:val="0"/>
          <w:numId w:val="1004"/>
        </w:numPr>
      </w:pPr>
      <w:r>
        <w:rPr>
          <w:b/>
          <w:bCs/>
        </w:rPr>
        <w:t xml:space="preserve">Nhận và bàn giao kết quả:</w:t>
      </w:r>
      <w:r>
        <w:t xml:space="preserve"> </w:t>
      </w:r>
      <w:r>
        <w:t xml:space="preserve">oBacker tiếp nhận và bàn giao kết quả cho Quý Khách.</w:t>
      </w:r>
    </w:p>
    <w:bookmarkEnd w:id="14"/>
    <w:bookmarkStart w:id="15" w:name="điều-6.-sản-phẩm-bàn-giao"/>
    <w:p>
      <w:pPr>
        <w:pStyle w:val="Heading2"/>
      </w:pPr>
      <w:r>
        <w:t xml:space="preserve">Điều 6. Sản phẩm bàn giao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Sản phẩm bàn giao</w:t>
            </w:r>
          </w:p>
        </w:tc>
        <w:tc>
          <w:tcPr/>
          <w:p>
            <w:pPr>
              <w:pStyle w:val="Compact"/>
            </w:pPr>
            <w:r>
              <w:t xml:space="preserve">Mô tả</w:t>
            </w:r>
          </w:p>
        </w:tc>
      </w:tr>
      <w:tr>
        <w:tc>
          <w:tcPr/>
          <w:p>
            <w:pPr>
              <w:pStyle w:val="Compact"/>
            </w:pPr>
            <w:r>
              <w:t xml:space="preserve">Danh Mục Hồ Sơ</w:t>
            </w:r>
          </w:p>
        </w:tc>
        <w:tc>
          <w:tcPr/>
          <w:p>
            <w:pPr>
              <w:pStyle w:val="Compact"/>
            </w:pPr>
            <w:r>
              <w:t xml:space="preserve">Bảng liệt kê tài liệu cần chuẩn bị, phân định phần oBacker và phần Quý Khách.</w:t>
            </w:r>
          </w:p>
        </w:tc>
      </w:tr>
      <w:tr>
        <w:tc>
          <w:tcPr/>
          <w:p>
            <w:pPr>
              <w:pStyle w:val="Compact"/>
            </w:pPr>
            <w:r>
              <w:t xml:space="preserve">Bộ hồ sơ hoàn chỉnh</w:t>
            </w:r>
          </w:p>
        </w:tc>
        <w:tc>
          <w:tcPr/>
          <w:p>
            <w:pPr>
              <w:pStyle w:val="Compact"/>
            </w:pPr>
            <w:r>
              <w:t xml:space="preserve">Các đơn, tờ khai, biểu mẫu do oBacker soạn, gửi Quý Khách rà soát, ký, đóng dấu trước khi nộp.</w:t>
            </w:r>
          </w:p>
        </w:tc>
      </w:tr>
      <w:tr>
        <w:tc>
          <w:tcPr/>
          <w:p>
            <w:pPr>
              <w:pStyle w:val="Compact"/>
            </w:pPr>
            <w:r>
              <w:t xml:space="preserve">Buổi tư vấn / hướng dẫn (nếu có)</w:t>
            </w:r>
          </w:p>
        </w:tc>
        <w:tc>
          <w:tcPr/>
          <w:p>
            <w:pPr>
              <w:pStyle w:val="Compact"/>
            </w:pPr>
            <w:r>
              <w:t xml:space="preserve">Theo Đơn Đặt Hàng đối với một số thủ tục (ví dụ: hướng dẫn thuyết trình hồ sơ xin công nhận doanh nghiệp khởi nghiệp sáng tạo).</w:t>
            </w:r>
          </w:p>
        </w:tc>
      </w:tr>
      <w:tr>
        <w:tc>
          <w:tcPr/>
          <w:p>
            <w:pPr>
              <w:pStyle w:val="Compact"/>
            </w:pPr>
            <w:r>
              <w:t xml:space="preserve">Biên nhận tiếp nhận hồ sơ</w:t>
            </w:r>
          </w:p>
        </w:tc>
        <w:tc>
          <w:tcPr/>
          <w:p>
            <w:pPr>
              <w:pStyle w:val="Compact"/>
            </w:pPr>
            <w:r>
              <w:t xml:space="preserve">Chứng từ xác nhận cơ quan nhà nước đã tiếp nhận hồ sơ.</w:t>
            </w:r>
          </w:p>
        </w:tc>
      </w:tr>
      <w:tr>
        <w:tc>
          <w:tcPr/>
          <w:p>
            <w:pPr>
              <w:pStyle w:val="Compact"/>
            </w:pPr>
            <w:r>
              <w:t xml:space="preserve">Thông báo tiến trình / bổ sung</w:t>
            </w:r>
          </w:p>
        </w:tc>
        <w:tc>
          <w:tcPr/>
          <w:p>
            <w:pPr>
              <w:pStyle w:val="Compact"/>
            </w:pPr>
            <w:r>
              <w:t xml:space="preserve">Cập nhật tình trạng xử lý và nội dung cơ quan yêu cầu bổ sung (nếu có).</w:t>
            </w:r>
          </w:p>
        </w:tc>
      </w:tr>
      <w:tr>
        <w:tc>
          <w:tcPr/>
          <w:p>
            <w:pPr>
              <w:pStyle w:val="Compact"/>
            </w:pPr>
            <w:r>
              <w:t xml:space="preserve">Kết quả</w:t>
            </w:r>
          </w:p>
        </w:tc>
        <w:tc>
          <w:tcPr/>
          <w:p>
            <w:pPr>
              <w:pStyle w:val="Compact"/>
            </w:pPr>
            <w:r>
              <w:t xml:space="preserve">Giấy Phép hoặc văn bản kết quả do cơ quan nhà nước cấp, bàn giao cho Quý Khách.</w:t>
            </w:r>
          </w:p>
        </w:tc>
      </w:tr>
    </w:tbl>
    <w:bookmarkEnd w:id="15"/>
    <w:bookmarkStart w:id="16" w:name="điều-7.-thời-hạn-và-tiến-độ"/>
    <w:p>
      <w:pPr>
        <w:pStyle w:val="Heading2"/>
      </w:pPr>
      <w:r>
        <w:t xml:space="preserve">Điều 7. Thời hạn và tiến độ</w:t>
      </w:r>
    </w:p>
    <w:p>
      <w:pPr>
        <w:pStyle w:val="FirstParagraph"/>
      </w:pPr>
      <w:r>
        <w:t xml:space="preserve">Các mốc dưới đây là thời hạn xử lý của oBacker (theo ngày làm việc), có thể điều chỉnh tại Đơn Đặt Hàng.</w:t>
      </w:r>
      <w:r>
        <w:t xml:space="preserve"> </w:t>
      </w:r>
      <w:r>
        <w:rPr>
          <w:b/>
          <w:bCs/>
        </w:rPr>
        <w:t xml:space="preserve">Thời gian thẩm định, cấp kết quả của cơ quan nhà nước nằm ngoài các mốc này và ngoài kiểm soát của oBacker.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Công việc</w:t>
            </w:r>
          </w:p>
        </w:tc>
        <w:tc>
          <w:tcPr/>
          <w:p>
            <w:pPr>
              <w:pStyle w:val="Compact"/>
            </w:pPr>
            <w:r>
              <w:t xml:space="preserve">Thời hạn (oBacker)</w:t>
            </w:r>
          </w:p>
        </w:tc>
      </w:tr>
      <w:tr>
        <w:tc>
          <w:tcPr/>
          <w:p>
            <w:pPr>
              <w:pStyle w:val="Compact"/>
            </w:pPr>
            <w:r>
              <w:t xml:space="preserve">Gửi Danh Mục Hồ Sơ</w:t>
            </w:r>
          </w:p>
        </w:tc>
        <w:tc>
          <w:tcPr/>
          <w:p>
            <w:pPr>
              <w:pStyle w:val="Compact"/>
            </w:pPr>
            <w:r>
              <w:t xml:space="preserve">Trong 03 ngày làm việc kể từ khi tiếp nhận yêu cầu.</w:t>
            </w:r>
          </w:p>
        </w:tc>
      </w:tr>
      <w:tr>
        <w:tc>
          <w:tcPr/>
          <w:p>
            <w:pPr>
              <w:pStyle w:val="Compact"/>
            </w:pPr>
            <w:r>
              <w:t xml:space="preserve">Soạn và hoàn thiện bộ hồ sơ</w:t>
            </w:r>
          </w:p>
        </w:tc>
        <w:tc>
          <w:tcPr/>
          <w:p>
            <w:pPr>
              <w:pStyle w:val="Compact"/>
            </w:pPr>
            <w:r>
              <w:t xml:space="preserve">Trong 05 ngày làm việc kể từ khi nhận đủ tài liệu từ Quý Khách.</w:t>
            </w:r>
          </w:p>
        </w:tc>
      </w:tr>
      <w:tr>
        <w:tc>
          <w:tcPr/>
          <w:p>
            <w:pPr>
              <w:pStyle w:val="Compact"/>
            </w:pPr>
            <w:r>
              <w:t xml:space="preserve">Nộp hồ sơ tại cơ quan nhà nước</w:t>
            </w:r>
          </w:p>
        </w:tc>
        <w:tc>
          <w:tcPr/>
          <w:p>
            <w:pPr>
              <w:pStyle w:val="Compact"/>
            </w:pPr>
            <w:r>
              <w:t xml:space="preserve">Trong 02 ngày làm việc kể từ khi Quý Khách duyệt bộ hồ sơ.</w:t>
            </w:r>
          </w:p>
        </w:tc>
      </w:tr>
      <w:tr>
        <w:tc>
          <w:tcPr/>
          <w:p>
            <w:pPr>
              <w:pStyle w:val="Compact"/>
            </w:pPr>
            <w:r>
              <w:t xml:space="preserve">Thông báo yêu cầu bổ sung</w:t>
            </w:r>
          </w:p>
        </w:tc>
        <w:tc>
          <w:tcPr/>
          <w:p>
            <w:pPr>
              <w:pStyle w:val="Compact"/>
            </w:pPr>
            <w:r>
              <w:t xml:space="preserve">Trong 03 ngày làm việc kể từ khi nhận thông báo của cơ quan.</w:t>
            </w:r>
          </w:p>
        </w:tc>
      </w:tr>
      <w:tr>
        <w:tc>
          <w:tcPr/>
          <w:p>
            <w:pPr>
              <w:pStyle w:val="Compact"/>
            </w:pPr>
            <w:r>
              <w:t xml:space="preserve">Bàn giao kết quả</w:t>
            </w:r>
          </w:p>
        </w:tc>
        <w:tc>
          <w:tcPr/>
          <w:p>
            <w:pPr>
              <w:pStyle w:val="Compact"/>
            </w:pPr>
            <w:r>
              <w:t xml:space="preserve">Trong 02 ngày làm việc kể từ khi nhận kết quả từ cơ quan.</w:t>
            </w:r>
          </w:p>
        </w:tc>
      </w:tr>
      <w:tr>
        <w:tc>
          <w:tcPr/>
          <w:p>
            <w:pPr>
              <w:pStyle w:val="Compact"/>
            </w:pPr>
            <w:r>
              <w:t xml:space="preserve">Thời gian thẩm định của cơ quan</w:t>
            </w:r>
          </w:p>
        </w:tc>
        <w:tc>
          <w:tcPr/>
          <w:p>
            <w:pPr>
              <w:pStyle w:val="Compact"/>
            </w:pPr>
            <w:r>
              <w:t xml:space="preserve">Theo quy định của từng thủ tục, ngoài kiểm soát của oBacker.</w:t>
            </w:r>
          </w:p>
        </w:tc>
      </w:tr>
    </w:tbl>
    <w:bookmarkEnd w:id="16"/>
    <w:bookmarkStart w:id="17" w:name="X77292981923ebccc26af7a7509ec239ec135a4c"/>
    <w:p>
      <w:pPr>
        <w:pStyle w:val="Heading2"/>
      </w:pPr>
      <w:r>
        <w:t xml:space="preserve">Điều 8. Sở hữu trí tuệ đối với sản phẩm công việc</w:t>
      </w:r>
    </w:p>
    <w:p>
      <w:pPr>
        <w:pStyle w:val="FirstParagraph"/>
      </w:pPr>
      <w:r>
        <w:t xml:space="preserve">Hồ sơ, biểu mẫu và tài liệu do oBacker chuẩn bị được dành riêng cho Quý Khách và cho thủ tục nêu tại Đơn Đặt Hàng. oBacker giữ bản quyền đối với biểu mẫu và sản phẩm công việc của mình; Quý Khách có quyền sử dụng cho đúng thủ tục thuộc phạm vi. Việc bên thứ ba sử dụng hoặc dựa vào các tài liệu này mà không có xác nhận của oBacker thuộc rủi ro của bên đó.</w:t>
      </w:r>
    </w:p>
    <w:bookmarkEnd w:id="17"/>
    <w:bookmarkStart w:id="18" w:name="điều-9.-phí-dịch-vụ-và-thanh-toán"/>
    <w:p>
      <w:pPr>
        <w:pStyle w:val="Heading2"/>
      </w:pPr>
      <w:r>
        <w:t xml:space="preserve">Điều 9. Phí Dịch Vụ và thanh toán</w:t>
      </w:r>
    </w:p>
    <w:p>
      <w:pPr>
        <w:pStyle w:val="FirstParagraph"/>
      </w:pPr>
      <w:r>
        <w:t xml:space="preserve">Phí Dịch Vụ được xác định theo Đơn Đặt Hàng đã được Quý Khách chấp thuận. Phí, lệ phí nhà nước, phí công chứng và dịch thuật áp dụng theo Điều 4 Bản Điều Khoản Chung. Mọi chi phí phát sinh ngoài phạm vi ban đầu được oBacker thông báo trước và chỉ thực hiện sau khi Quý Khách chấp thuận. Trừ khi Đơn Đặt Hàng quy định khác,</w:t>
      </w:r>
      <w:r>
        <w:t xml:space="preserve"> </w:t>
      </w:r>
      <w:r>
        <w:rPr>
          <w:b/>
          <w:bCs/>
        </w:rPr>
        <w:t xml:space="preserve">Phí Dịch Vụ được thanh toán trước 100%</w:t>
      </w:r>
      <w:r>
        <w:t xml:space="preserve"> </w:t>
      </w:r>
      <w:r>
        <w:t xml:space="preserve">trước khi oBacker bắt đầu thực hiện Dịch Vụ.</w:t>
      </w:r>
    </w:p>
    <w:p>
      <w:r>
        <w:pict>
          <v:rect style="width:0;height:1.5pt" o:hralign="center" o:hrstd="t" o:hr="t"/>
        </w:pict>
      </w:r>
    </w:p>
    <w:p>
      <w:pPr>
        <w:pStyle w:val="FirstParagraph"/>
      </w:pPr>
      <w:r>
        <w:rPr>
          <w:b/>
          <w:bCs/>
        </w:rPr>
        <w:t xml:space="preserve">Công ty Cổ phần oBacker</w:t>
      </w:r>
      <w:r>
        <w:t xml:space="preserve"> </w:t>
      </w:r>
      <w:r>
        <w:t xml:space="preserve">· MST: 0402298185 · Tầng 2, 06 Trần Phú, Phường Hải Châu, Thành phố Đà Nẵng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18"/>
    <w:bookmarkStart w:id="19"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KHOẢN DỊCH VỤ XIN GIẤY PHÉP (PL-GP)</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