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ĐIỀU KHOẢN DỊCH VỤ KẾ TOÁN &amp; THUẾ (PL-KT)</w:t>
      </w:r>
    </w:p>
    <w:bookmarkStart w:id="22" w:name="điều-khoản-dịch-vụ-kế-toán-thuế-pl-kt"/>
    <w:p>
      <w:pPr>
        <w:pStyle w:val="Heading1"/>
      </w:pPr>
      <w:r>
        <w:t xml:space="preserve">ĐIỀU KHOẢN DỊCH VỤ KẾ TOÁN &amp; THUẾ (PL-KT)</w:t>
      </w:r>
    </w:p>
    <w:bookmarkStart w:id="9" w:name="điều-khoản-dịch-vụ-cụ-thể"/>
    <w:p>
      <w:pPr>
        <w:pStyle w:val="Heading2"/>
      </w:pPr>
      <w:r>
        <w:t xml:space="preserve">Điều khoản dịch vụ cụ thể</w:t>
      </w:r>
    </w:p>
    <w:p>
      <w:pPr>
        <w:pStyle w:val="FirstParagraph"/>
      </w:pPr>
      <w:r>
        <w:rPr>
          <w:i/>
          <w:iCs/>
        </w:rPr>
        <w:t xml:space="preserve">Điều Khoản Dịch Vụ Cụ Thể, bộ phận không tách rời của Bản Điều Khoản Chung; Công ty Cổ phần oBacker</w:t>
      </w:r>
      <w:r>
        <w:t xml:space="preserve"> </w:t>
      </w:r>
      <w:r>
        <w:t xml:space="preserve">MST: 0402298185 · Tầng 2, 06 Trần Phú, Phường Hải Châu, Thành phố Đà Nẵng · contact@obacker.com</w:t>
      </w:r>
    </w:p>
    <w:p>
      <w:pPr>
        <w:pStyle w:val="BodyText"/>
      </w:pPr>
      <w:r>
        <w:rPr>
          <w:b/>
          <w:bCs/>
        </w:rPr>
        <w:t xml:space="preserve">Phiên bản:</w:t>
      </w:r>
      <w:r>
        <w:t xml:space="preserve"> </w:t>
      </w:r>
      <w:r>
        <w:t xml:space="preserve">R.1.0.0 ·</w:t>
      </w:r>
      <w:r>
        <w:t xml:space="preserve"> </w:t>
      </w:r>
      <w:r>
        <w:rPr>
          <w:b/>
          <w:bCs/>
        </w:rPr>
        <w:t xml:space="preserve">Cập nhật:</w:t>
      </w:r>
      <w:r>
        <w:t xml:space="preserve"> </w:t>
      </w:r>
      <w:r>
        <w:t xml:space="preserve">21/09/2026</w:t>
      </w:r>
    </w:p>
    <w:p>
      <w:pPr>
        <w:pStyle w:val="BlockText"/>
      </w:pPr>
      <w:r>
        <w:t xml:space="preserve">Tài liệu này là Điều Khoản Dịch Vụ Cụ Thể cho Dịch Vụ Kế toán &amp; Thuế (</w:t>
      </w:r>
      <w:r>
        <w:t xml:space="preserve">“</w:t>
      </w:r>
      <w:r>
        <w:rPr>
          <w:b/>
          <w:bCs/>
        </w:rPr>
        <w:t xml:space="preserve">Dịch Vụ</w:t>
      </w:r>
      <w:r>
        <w:t xml:space="preserve">”</w:t>
      </w:r>
      <w:r>
        <w:t xml:space="preserve">), gồm hai hợp phần: (A) Kế toán và (B) Thuế doanh nghiệp (GTGT, TNDN, thuế nhà thầu nước ngoài (FCT), hóa đơn điện tử). Tài liệu áp dụng khi Dịch Vụ được ghi tại Đơn Đặt Hàng.</w:t>
      </w:r>
      <w:r>
        <w:t xml:space="preserve"> </w:t>
      </w:r>
      <w:r>
        <w:rPr>
          <w:b/>
          <w:bCs/>
        </w:rPr>
        <w:t xml:space="preserve">Nếu tài liệu này khác với Bản Điều Khoản Chung, tài liệu này được ưu tiên áp dụng đối với Dịch Vụ.</w:t>
      </w:r>
    </w:p>
    <w:p>
      <w:pPr>
        <w:pStyle w:val="BlockText"/>
      </w:pPr>
      <w:r>
        <w:rPr>
          <w:b/>
          <w:bCs/>
        </w:rPr>
        <w:t xml:space="preserve">Phân định:</w:t>
      </w:r>
      <w:r>
        <w:t xml:space="preserve"> </w:t>
      </w:r>
      <w:r>
        <w:t xml:space="preserve">Kê khai và quyết toán</w:t>
      </w:r>
      <w:r>
        <w:t xml:space="preserve"> </w:t>
      </w:r>
      <w:r>
        <w:rPr>
          <w:b/>
          <w:bCs/>
        </w:rPr>
        <w:t xml:space="preserve">thuế TNCN từ tiền lương</w:t>
      </w:r>
      <w:r>
        <w:t xml:space="preserve">, đăng ký người phụ thuộc và chứng từ khấu trừ TNCN cho người lao động thuộc</w:t>
      </w:r>
      <w:r>
        <w:t xml:space="preserve"> </w:t>
      </w:r>
      <w:r>
        <w:rPr>
          <w:b/>
          <w:bCs/>
        </w:rPr>
        <w:t xml:space="preserve">Dịch Vụ Nhân Sự (PL-NS)</w:t>
      </w:r>
      <w:r>
        <w:t xml:space="preserve">. Tư vấn và tối ưu thuế thuộc</w:t>
      </w:r>
      <w:r>
        <w:t xml:space="preserve"> </w:t>
      </w:r>
      <w:r>
        <w:rPr>
          <w:b/>
          <w:bCs/>
        </w:rPr>
        <w:t xml:space="preserve">Dịch Vụ Pháp Lý (PL-PL)</w:t>
      </w:r>
      <w:r>
        <w:t xml:space="preserve">.</w:t>
      </w:r>
    </w:p>
    <w:p>
      <w:r>
        <w:pict>
          <v:rect style="width:0;height:1.5pt" o:hralign="center" o:hrstd="t" o:hr="t"/>
        </w:pict>
      </w:r>
    </w:p>
    <w:bookmarkEnd w:id="9"/>
    <w:bookmarkStart w:id="11" w:name="điều-1.-tổng-quan-và-nguyên-tắc-áp-dụng"/>
    <w:p>
      <w:pPr>
        <w:pStyle w:val="Heading2"/>
      </w:pPr>
      <w:r>
        <w:t xml:space="preserve">Điều 1. Tổng quan và nguyên tắc áp dụng</w:t>
      </w:r>
    </w:p>
    <w:p>
      <w:pPr>
        <w:pStyle w:val="FirstParagraph"/>
      </w:pPr>
      <w:r>
        <w:t xml:space="preserve">oBacker vận hành công tác kế toán và thuế doanh nghiệp để hỗ trợ Quý Khách tuân thủ đầy đủ nghĩa vụ. Chỉ những hợp phần được ghi tại Đơn Đặt Hàng mới có hiệu lực ràng buộc.</w:t>
      </w:r>
      <w:r>
        <w:t xml:space="preserve"> </w:t>
      </w:r>
      <w:r>
        <w:rPr>
          <w:b/>
          <w:bCs/>
        </w:rPr>
        <w:t xml:space="preserve">Quý Khách là chủ thể chịu trách nhiệm cuối cùng trước cơ quan nhà nước</w:t>
      </w:r>
      <w:r>
        <w:t xml:space="preserve"> </w:t>
      </w:r>
      <w:r>
        <w:t xml:space="preserve">về tính trung thực, đầy đủ và hợp pháp của hồ sơ, chứng từ cung cấp cho oBacker.</w:t>
      </w:r>
    </w:p>
    <w:bookmarkStart w:id="10" w:name="định-nghĩa-01-giao-dịch"/>
    <w:p>
      <w:pPr>
        <w:pStyle w:val="Heading3"/>
      </w:pPr>
      <w:r>
        <w:t xml:space="preserve">Định nghĩa</w:t>
      </w:r>
      <w:r>
        <w:t xml:space="preserve"> </w:t>
      </w:r>
      <w:r>
        <w:t xml:space="preserve">“01 Giao Dịch”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Định nghĩa</w:t>
            </w:r>
          </w:p>
        </w:tc>
      </w:tr>
      <w:tr>
        <w:tc>
          <w:tcPr/>
          <w:p>
            <w:pPr>
              <w:pStyle w:val="Compact"/>
            </w:pPr>
            <w:r>
              <w:rPr>
                <w:b/>
                <w:bCs/>
              </w:rPr>
              <w:t xml:space="preserve">Giao Dịch</w:t>
            </w:r>
          </w:p>
        </w:tc>
        <w:tc>
          <w:tcPr/>
          <w:p>
            <w:pPr>
              <w:pStyle w:val="Compact"/>
            </w:pPr>
            <w:r>
              <w:t xml:space="preserve">Một nghiệp vụ kinh tế làm thay đổi tài sản, nguồn vốn, công nợ hoặc nghĩa vụ thuế của Quý Khách;</w:t>
            </w:r>
            <w:r>
              <w:t xml:space="preserve">là cơ sở xác định khối lượng và phí của hợp phần Kế toán.</w:t>
            </w:r>
          </w:p>
        </w:tc>
      </w:tr>
      <w:tr>
        <w:tc>
          <w:tcPr/>
          <w:p>
            <w:pPr>
              <w:pStyle w:val="Compact"/>
            </w:pPr>
            <w:r>
              <w:rPr>
                <w:b/>
                <w:bCs/>
              </w:rPr>
              <w:t xml:space="preserve">Ngày Chốt Số Liệu</w:t>
            </w:r>
          </w:p>
        </w:tc>
        <w:tc>
          <w:tcPr/>
          <w:p>
            <w:pPr>
              <w:pStyle w:val="Compact"/>
            </w:pPr>
            <w:r>
              <w:t xml:space="preserve">Thời hạn Quý Khách gửi chứng từ mỗi kỳ, quy định tại Đơn Đặt Hàng hoặc quy trình vận hành;</w:t>
            </w:r>
            <w:r>
              <w:t xml:space="preserve">là căn cứ xác định các mốc thời gian.</w:t>
            </w:r>
          </w:p>
        </w:tc>
      </w:tr>
    </w:tbl>
    <w:p>
      <w:pPr>
        <w:pStyle w:val="BodyText"/>
      </w:pPr>
      <w:r>
        <w:t xml:space="preserve">Để minh bạch và tránh tính trùng:</w:t>
      </w:r>
    </w:p>
    <w:p>
      <w:pPr>
        <w:pStyle w:val="Compact"/>
        <w:numPr>
          <w:ilvl w:val="0"/>
          <w:numId w:val="1001"/>
        </w:numPr>
      </w:pPr>
      <w:r>
        <w:rPr>
          <w:b/>
          <w:bCs/>
        </w:rPr>
        <w:t xml:space="preserve">01 Giao Dịch là 01 bút toán ghi nhận trên sổ kế toán</w:t>
      </w:r>
      <w:r>
        <w:t xml:space="preserve">, tương ứng với 01 hóa đơn mua vào/bán ra hợp lệ,</w:t>
      </w:r>
      <w:r>
        <w:t xml:space="preserve"> </w:t>
      </w:r>
      <w:r>
        <w:rPr>
          <w:b/>
          <w:bCs/>
        </w:rPr>
        <w:t xml:space="preserve">HOẶC</w:t>
      </w:r>
      <w:r>
        <w:t xml:space="preserve"> </w:t>
      </w:r>
      <w:r>
        <w:t xml:space="preserve">01 dòng phát sinh độc lập trên sao kê ngân hàng.</w:t>
      </w:r>
    </w:p>
    <w:p>
      <w:pPr>
        <w:pStyle w:val="Compact"/>
        <w:numPr>
          <w:ilvl w:val="0"/>
          <w:numId w:val="1001"/>
        </w:numPr>
      </w:pPr>
      <w:r>
        <w:rPr>
          <w:b/>
          <w:bCs/>
        </w:rPr>
        <w:t xml:space="preserve">Chính sách hỗ trợ (gộp một đợt chi trả lương):</w:t>
      </w:r>
      <w:r>
        <w:t xml:space="preserve"> </w:t>
      </w:r>
      <w:r>
        <w:t xml:space="preserve">Với các bút toán chi trả lương hàng tháng, nếu thanh toán trong</w:t>
      </w:r>
      <w:r>
        <w:t xml:space="preserve"> </w:t>
      </w:r>
      <w:r>
        <w:rPr>
          <w:b/>
          <w:bCs/>
        </w:rPr>
        <w:t xml:space="preserve">cùng một đợt chi trả</w:t>
      </w:r>
      <w:r>
        <w:t xml:space="preserve">, oBacker gộp và chỉ tính</w:t>
      </w:r>
      <w:r>
        <w:t xml:space="preserve"> </w:t>
      </w:r>
      <w:r>
        <w:rPr>
          <w:b/>
          <w:bCs/>
        </w:rPr>
        <w:t xml:space="preserve">01 Giao Dịch</w:t>
      </w:r>
      <w:r>
        <w:t xml:space="preserve">, không đếm theo số lượng nhân sự nhận lương.</w:t>
      </w:r>
    </w:p>
    <w:p>
      <w:pPr>
        <w:pStyle w:val="FirstParagraph"/>
      </w:pPr>
      <w:r>
        <w:t xml:space="preserve">Ngưỡng Giao Dịch/tháng theo gói được ghi tại Đơn Đặt Hàng. Khi vượt ngưỡng, oBacker chủ động thông báo và đề xuất nâng gói; trong thời gian chuyển tiếp, oBacker vẫn xử lý đầy đủ khối lượng nhưng có thể phát sinh phí điều chỉnh theo thỏa thuận.</w:t>
      </w:r>
    </w:p>
    <w:p>
      <w:r>
        <w:pict>
          <v:rect style="width:0;height:1.5pt" o:hralign="center" o:hrstd="t" o:hr="t"/>
        </w:pict>
      </w:r>
    </w:p>
    <w:bookmarkEnd w:id="10"/>
    <w:bookmarkEnd w:id="11"/>
    <w:bookmarkStart w:id="12" w:name="điều-2.-hợp-phần-a-kế-toán"/>
    <w:p>
      <w:pPr>
        <w:pStyle w:val="Heading2"/>
      </w:pPr>
      <w:r>
        <w:t xml:space="preserve">Điều 2. Hợp phần A; Kế toán</w:t>
      </w:r>
    </w:p>
    <w:p>
      <w:pPr>
        <w:pStyle w:val="FirstParagraph"/>
      </w:pPr>
      <w:r>
        <w:rPr>
          <w:b/>
          <w:bCs/>
        </w:rPr>
        <w:t xml:space="preserve">2.1. Phạm vi thực hiện:</w:t>
      </w:r>
    </w:p>
    <w:p>
      <w:pPr>
        <w:pStyle w:val="Compact"/>
        <w:numPr>
          <w:ilvl w:val="0"/>
          <w:numId w:val="1002"/>
        </w:numPr>
      </w:pPr>
      <w:r>
        <w:t xml:space="preserve">Tiếp nhận sao kê ngân hàng, hóa đơn và chứng từ; ghi nhận và phân loại từng Giao Dịch theo</w:t>
      </w:r>
      <w:r>
        <w:t xml:space="preserve"> </w:t>
      </w:r>
      <w:r>
        <w:rPr>
          <w:b/>
          <w:bCs/>
        </w:rPr>
        <w:t xml:space="preserve">Chế độ kế toán Việt Nam</w:t>
      </w:r>
      <w:r>
        <w:t xml:space="preserve"> </w:t>
      </w:r>
      <w:r>
        <w:t xml:space="preserve">(Thông tư 200/2014/TT-BTC hoặc Thông tư 133/2016/TT-BTC tùy quy mô doanh nghiệp, theo Đơn Đặt Hàng)</w:t>
      </w:r>
    </w:p>
    <w:p>
      <w:pPr>
        <w:pStyle w:val="Compact"/>
        <w:numPr>
          <w:ilvl w:val="0"/>
          <w:numId w:val="1002"/>
        </w:numPr>
      </w:pPr>
      <w:r>
        <w:t xml:space="preserve">Lập các loại sổ sách theo quy định của pháp luật</w:t>
      </w:r>
    </w:p>
    <w:p>
      <w:pPr>
        <w:pStyle w:val="Compact"/>
        <w:numPr>
          <w:ilvl w:val="0"/>
          <w:numId w:val="1002"/>
        </w:numPr>
      </w:pPr>
      <w:r>
        <w:t xml:space="preserve">Chốt sổ hàng tháng; phát hành</w:t>
      </w:r>
      <w:r>
        <w:t xml:space="preserve"> </w:t>
      </w:r>
      <w:r>
        <w:rPr>
          <w:b/>
          <w:bCs/>
        </w:rPr>
        <w:t xml:space="preserve">báo cáo tài chính nội bộ hàng tháng</w:t>
      </w:r>
    </w:p>
    <w:p>
      <w:pPr>
        <w:pStyle w:val="Compact"/>
        <w:numPr>
          <w:ilvl w:val="0"/>
          <w:numId w:val="1002"/>
        </w:numPr>
      </w:pPr>
      <w:r>
        <w:t xml:space="preserve">Lập và nộp</w:t>
      </w:r>
      <w:r>
        <w:t xml:space="preserve"> </w:t>
      </w:r>
      <w:r>
        <w:rPr>
          <w:b/>
          <w:bCs/>
        </w:rPr>
        <w:t xml:space="preserve">Báo cáo tài chính năm</w:t>
      </w:r>
      <w:r>
        <w:t xml:space="preserve"> </w:t>
      </w:r>
      <w:r>
        <w:t xml:space="preserve">(Bảng cân đối kế toán, Kết quả hoạt động kinh doanh, Lưu chuyển tiền tệ, Thuyết minh BCTC) cho cơ quan thuế đúng hạn</w:t>
      </w:r>
    </w:p>
    <w:p>
      <w:pPr>
        <w:pStyle w:val="Compact"/>
        <w:numPr>
          <w:ilvl w:val="0"/>
          <w:numId w:val="1002"/>
        </w:numPr>
      </w:pPr>
      <w:r>
        <w:t xml:space="preserve">Đối chiếu số liệu với chứng từ Quý Khách cung cấp và lưu bản sao điện tử trên nền tảng của oBacker.</w:t>
      </w:r>
    </w:p>
    <w:p>
      <w:pPr>
        <w:pStyle w:val="FirstParagraph"/>
      </w:pPr>
      <w:r>
        <w:rPr>
          <w:b/>
          <w:bCs/>
        </w:rPr>
        <w:t xml:space="preserve">2.2. Ngoài phạm vi:</w:t>
      </w:r>
    </w:p>
    <w:p>
      <w:pPr>
        <w:pStyle w:val="Compact"/>
        <w:numPr>
          <w:ilvl w:val="0"/>
          <w:numId w:val="1003"/>
        </w:numPr>
      </w:pPr>
      <w:r>
        <w:t xml:space="preserve">Không soạn thảo giấy tờ nội bộ (quyết định, biên bản kiểm kê/thanh lý, hợp đồng, phiếu nhập kho, biên bản bàn giao, giấy đề nghị tạm ứng, phiếu thu, phiếu chi và tương tự)</w:t>
      </w:r>
    </w:p>
    <w:p>
      <w:pPr>
        <w:pStyle w:val="Compact"/>
        <w:numPr>
          <w:ilvl w:val="0"/>
          <w:numId w:val="1003"/>
        </w:numPr>
      </w:pPr>
      <w:r>
        <w:t xml:space="preserve">Không xác minh tính chính xác, hợp pháp của chứng từ; không kiểm kê hoặc thực hiện thu, chi tiền mặt thực tế; không lưu giữ chứng từ gốc.</w:t>
      </w:r>
    </w:p>
    <w:p>
      <w:pPr>
        <w:pStyle w:val="FirstParagraph"/>
      </w:pPr>
      <w:r>
        <w:rPr>
          <w:b/>
          <w:bCs/>
        </w:rPr>
        <w:t xml:space="preserve">2.3. Nguyên tắc làm việc;</w:t>
      </w:r>
      <w:r>
        <w:rPr>
          <w:b/>
          <w:bCs/>
        </w:rPr>
        <w:t xml:space="preserve"> </w:t>
      </w:r>
      <w:r>
        <w:rPr>
          <w:b/>
          <w:bCs/>
        </w:rPr>
        <w:t xml:space="preserve">“ghi nhận theo chứng từ; tin cậy; không xác thực”</w:t>
      </w:r>
      <w:r>
        <w:rPr>
          <w:b/>
          <w:bCs/>
        </w:rPr>
        <w:t xml:space="preserve">:</w:t>
      </w:r>
      <w:r>
        <w:t xml:space="preserve"> </w:t>
      </w:r>
      <w:r>
        <w:t xml:space="preserve">oBacker ghi sổ đúng theo chứng từ Quý Khách cung cấp, trên cơ sở tin tưởng dữ liệu là chính xác và hợp pháp, và không có nghĩa vụ điều tra tính chân thực của Giao Dịch. Khi phát hiện thiếu chứng từ hoặc số liệu bất thường, oBacker thông báo để Quý Khách làm rõ; đây là hỗ trợ thiện chí, không phải nghĩa vụ kiểm toán.</w:t>
      </w:r>
    </w:p>
    <w:bookmarkEnd w:id="12"/>
    <w:bookmarkStart w:id="13" w:name="điều-3.-hợp-phần-b-thuế-doanh-nghiệp"/>
    <w:p>
      <w:pPr>
        <w:pStyle w:val="Heading2"/>
      </w:pPr>
      <w:r>
        <w:t xml:space="preserve">Điều 3. Hợp phần B; Thuế doanh nghiệp</w:t>
      </w:r>
    </w:p>
    <w:p>
      <w:pPr>
        <w:pStyle w:val="FirstParagraph"/>
      </w:pPr>
      <w:r>
        <w:rPr>
          <w:b/>
          <w:bCs/>
        </w:rPr>
        <w:t xml:space="preserve">3.1. Phạm vi thực hiện:</w:t>
      </w:r>
    </w:p>
    <w:p>
      <w:pPr>
        <w:pStyle w:val="Compact"/>
        <w:numPr>
          <w:ilvl w:val="0"/>
          <w:numId w:val="1004"/>
        </w:numPr>
      </w:pPr>
      <w:r>
        <w:t xml:space="preserve">Lập và nộp các tờ khai thuế theo kỳ hoặc theo thời điểm phát sinh:</w:t>
      </w:r>
      <w:r>
        <w:t xml:space="preserve"> </w:t>
      </w:r>
      <w:r>
        <w:rPr>
          <w:b/>
          <w:bCs/>
        </w:rPr>
        <w:t xml:space="preserve">thuế GTGT</w:t>
      </w:r>
      <w:r>
        <w:t xml:space="preserve"> </w:t>
      </w:r>
      <w:r>
        <w:t xml:space="preserve">và</w:t>
      </w:r>
      <w:r>
        <w:t xml:space="preserve"> </w:t>
      </w:r>
      <w:r>
        <w:rPr>
          <w:b/>
          <w:bCs/>
        </w:rPr>
        <w:t xml:space="preserve">thuế nhà thầu nước ngoài (FCT)</w:t>
      </w:r>
    </w:p>
    <w:p>
      <w:pPr>
        <w:pStyle w:val="Compact"/>
        <w:numPr>
          <w:ilvl w:val="0"/>
          <w:numId w:val="1004"/>
        </w:numPr>
      </w:pPr>
      <w:r>
        <w:t xml:space="preserve">Tạm nộp và</w:t>
      </w:r>
      <w:r>
        <w:t xml:space="preserve"> </w:t>
      </w:r>
      <w:r>
        <w:rPr>
          <w:b/>
          <w:bCs/>
        </w:rPr>
        <w:t xml:space="preserve">quyết toán thuế TNDN</w:t>
      </w:r>
      <w:r>
        <w:t xml:space="preserve">; lập hồ sơ quyết toán thuế năm phần TNDN</w:t>
      </w:r>
    </w:p>
    <w:p>
      <w:pPr>
        <w:pStyle w:val="Compact"/>
        <w:numPr>
          <w:ilvl w:val="0"/>
          <w:numId w:val="1004"/>
        </w:numPr>
      </w:pPr>
      <w:r>
        <w:rPr>
          <w:b/>
          <w:bCs/>
        </w:rPr>
        <w:t xml:space="preserve">Khấu trừ và kê khai thuế TNCN đối với thu nhập vãng lai chi cho cá nhân KHÔNG qua bảng lương</w:t>
      </w:r>
      <w:r>
        <w:t xml:space="preserve">; cộng tác viên (CTV), freelancer theo hợp đồng dịch vụ, thuê tài sản cá nhân (nhà, xe…): khấu trừ 10% khi khoản chi từ 2 triệu đồng/lần trở lên (thu nhập vãng lai), hoặc theo tỷ lệ tương ứng đối với thuê tài sản. Nghiệp vụ này gắn với dòng chi phí do Kế toán ghi nhận, thuộc PL-KT</w:t>
      </w:r>
    </w:p>
    <w:p>
      <w:pPr>
        <w:pStyle w:val="Compact"/>
        <w:numPr>
          <w:ilvl w:val="0"/>
          <w:numId w:val="1004"/>
        </w:numPr>
      </w:pPr>
      <w:r>
        <w:t xml:space="preserve">Theo dõi và thông báo nghĩa vụ thuế cùng thời hạn nộp cho Quý Khách</w:t>
      </w:r>
    </w:p>
    <w:p>
      <w:pPr>
        <w:pStyle w:val="Compact"/>
        <w:numPr>
          <w:ilvl w:val="0"/>
          <w:numId w:val="1004"/>
        </w:numPr>
      </w:pPr>
      <w:r>
        <w:t xml:space="preserve">Hỗ trợ giải trình số liệu đã xử lý khi cơ quan thuế kiểm tra, trong phạm vi ủy quyền hợp lệ.</w:t>
      </w:r>
    </w:p>
    <w:p>
      <w:pPr>
        <w:pStyle w:val="BlockText"/>
      </w:pPr>
      <w:r>
        <w:rPr>
          <w:b/>
          <w:bCs/>
        </w:rPr>
        <w:t xml:space="preserve">Phân định TNCN:</w:t>
      </w:r>
      <w:r>
        <w:t xml:space="preserve"> </w:t>
      </w:r>
      <w:r>
        <w:t xml:space="preserve">TNCN</w:t>
      </w:r>
      <w:r>
        <w:t xml:space="preserve"> </w:t>
      </w:r>
      <w:r>
        <w:rPr>
          <w:b/>
          <w:bCs/>
        </w:rPr>
        <w:t xml:space="preserve">từ tiền lương</w:t>
      </w:r>
      <w:r>
        <w:t xml:space="preserve"> </w:t>
      </w:r>
      <w:r>
        <w:t xml:space="preserve">của người lao động có hợp đồng lao động (khấu trừ lũy tiến), đăng ký người phụ thuộc, chứng từ khấu trừ cho người lao động và</w:t>
      </w:r>
      <w:r>
        <w:t xml:space="preserve"> </w:t>
      </w:r>
      <w:r>
        <w:rPr>
          <w:b/>
          <w:bCs/>
        </w:rPr>
        <w:t xml:space="preserve">quyết toán TNCN năm</w:t>
      </w:r>
      <w:r>
        <w:t xml:space="preserve"> </w:t>
      </w:r>
      <w:r>
        <w:t xml:space="preserve">thuộc</w:t>
      </w:r>
      <w:r>
        <w:t xml:space="preserve"> </w:t>
      </w:r>
      <w:r>
        <w:rPr>
          <w:b/>
          <w:bCs/>
        </w:rPr>
        <w:t xml:space="preserve">Dịch Vụ Nhân Sự (PL-NS)</w:t>
      </w:r>
      <w:r>
        <w:t xml:space="preserve">. TNCN</w:t>
      </w:r>
      <w:r>
        <w:t xml:space="preserve"> </w:t>
      </w:r>
      <w:r>
        <w:rPr>
          <w:b/>
          <w:bCs/>
        </w:rPr>
        <w:t xml:space="preserve">vãng lai</w:t>
      </w:r>
      <w:r>
        <w:t xml:space="preserve"> </w:t>
      </w:r>
      <w:r>
        <w:t xml:space="preserve">chi cho cá nhân ngoài bảng lương (CTV, freelancer, thuê tài sản cá nhân) thuộc</w:t>
      </w:r>
      <w:r>
        <w:t xml:space="preserve"> </w:t>
      </w:r>
      <w:r>
        <w:rPr>
          <w:b/>
          <w:bCs/>
        </w:rPr>
        <w:t xml:space="preserve">PL-KT</w:t>
      </w:r>
      <w:r>
        <w:t xml:space="preserve"> </w:t>
      </w:r>
      <w:r>
        <w:t xml:space="preserve">(điểm trên).</w:t>
      </w:r>
    </w:p>
    <w:p>
      <w:pPr>
        <w:pStyle w:val="BlockText"/>
      </w:pPr>
      <w:r>
        <w:rPr>
          <w:b/>
          <w:bCs/>
        </w:rPr>
        <w:t xml:space="preserve">Lưu ý ranh giới:</w:t>
      </w:r>
      <w:r>
        <w:t xml:space="preserve"> </w:t>
      </w:r>
      <w:r>
        <w:t xml:space="preserve">CTV/freelancer làm việc thường xuyên từ đủ 01 tháng trở lên, đều đặn và có tính chất lao động có thể bị cơ quan BHXH xác định là quan hệ lao động và truy thu BHXH; khi đó chuyển sang nhân viên và các nghĩa vụ liên quan chuyển về PL-NS. oBacker khuyến nghị Quý Khách chuyển sang hợp đồng lao động chính thức trong trường hợp này.</w:t>
      </w:r>
    </w:p>
    <w:p>
      <w:pPr>
        <w:pStyle w:val="FirstParagraph"/>
      </w:pPr>
      <w:r>
        <w:rPr>
          <w:b/>
          <w:bCs/>
        </w:rPr>
        <w:t xml:space="preserve">3.2. Kê khai thuế nhà thầu (FCT); miễn phí trong mọi gói.</w:t>
      </w:r>
      <w:r>
        <w:t xml:space="preserve"> </w:t>
      </w:r>
      <w:r>
        <w:t xml:space="preserve">Việc kê khai FCT khi Quý Khách thanh toán cho nhà cung cấp nước ngoài (phần mềm dịch vụ SaaS, quảng cáo trực tuyến, lưu trữ web, tên miền, mạng phân phối nội dung, bản quyền, freelancer hoặc đơn vị dịch vụ nước ngoài…) được</w:t>
      </w:r>
      <w:r>
        <w:t xml:space="preserve"> </w:t>
      </w:r>
      <w:r>
        <w:rPr>
          <w:b/>
          <w:bCs/>
        </w:rPr>
        <w:t xml:space="preserve">bao gồm miễn phí trong tất cả các gói, kể cả gói Starter</w:t>
      </w:r>
      <w:r>
        <w:t xml:space="preserve">. Cơ sở pháp lý:</w:t>
      </w:r>
      <w:r>
        <w:t xml:space="preserve"> </w:t>
      </w:r>
      <w:r>
        <w:rPr>
          <w:b/>
          <w:bCs/>
        </w:rPr>
        <w:t xml:space="preserve">Thông tư 103/2014/TT-BTC</w:t>
      </w:r>
      <w:r>
        <w:t xml:space="preserve">.</w:t>
      </w:r>
    </w:p>
    <w:p>
      <w:pPr>
        <w:pStyle w:val="BodyText"/>
      </w:pPr>
      <w:r>
        <w:t xml:space="preserve">Quý Khách có nghĩa vụ</w:t>
      </w:r>
      <w:r>
        <w:t xml:space="preserve"> </w:t>
      </w:r>
      <w:r>
        <w:rPr>
          <w:b/>
          <w:bCs/>
        </w:rPr>
        <w:t xml:space="preserve">thông báo ngay</w:t>
      </w:r>
      <w:r>
        <w:t xml:space="preserve"> </w:t>
      </w:r>
      <w:r>
        <w:t xml:space="preserve">cho oBacker (ops@obacker.com) khi phát sinh giao dịch thanh toán nước ngoài (quẹt thẻ tín dụng/ghi nợ, chuyển khoản quốc tế, cổng trung gian như Stripe/PayPal/Wise), kèm hóa đơn/biên nhận, chứng từ thanh toán và mô tả dịch vụ. Hóa đơn cần ghi đúng mã số thuế và địa chỉ công ty Việt Nam.</w:t>
      </w:r>
    </w:p>
    <w:p>
      <w:pPr>
        <w:pStyle w:val="BodyText"/>
      </w:pPr>
      <w:r>
        <w:t xml:space="preserve">Hai phương thức kê khai FCT (Quý Khách chọn):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Phương thức</w:t>
            </w:r>
          </w:p>
        </w:tc>
        <w:tc>
          <w:tcPr/>
          <w:p>
            <w:pPr>
              <w:pStyle w:val="Compact"/>
            </w:pPr>
            <w:r>
              <w:t xml:space="preserve">Áp dụng khi</w:t>
            </w:r>
          </w:p>
        </w:tc>
        <w:tc>
          <w:tcPr/>
          <w:p>
            <w:pPr>
              <w:pStyle w:val="Compact"/>
            </w:pPr>
            <w:r>
              <w:t xml:space="preserve">Thời hạn kê khai</w:t>
            </w:r>
          </w:p>
        </w:tc>
      </w:tr>
      <w:tr>
        <w:tc>
          <w:tcPr/>
          <w:p>
            <w:pPr>
              <w:pStyle w:val="Compact"/>
            </w:pPr>
            <w:r>
              <w:t xml:space="preserve">Kê khai theo tháng</w:t>
            </w:r>
          </w:p>
        </w:tc>
        <w:tc>
          <w:tcPr/>
          <w:p>
            <w:pPr>
              <w:pStyle w:val="Compact"/>
            </w:pPr>
            <w:r>
              <w:t xml:space="preserve">Nhà cung cấp nước ngoài kinh doanh thường xuyên, theo Nghị định 252/2026/NĐ-CP Điều 40 khoản 2 điểm a.1</w:t>
            </w:r>
          </w:p>
        </w:tc>
        <w:tc>
          <w:tcPr/>
          <w:p>
            <w:pPr>
              <w:pStyle w:val="Compact"/>
            </w:pPr>
            <w:r>
              <w:t xml:space="preserve">Ngày 20 tháng kế tiếp</w:t>
            </w:r>
          </w:p>
        </w:tc>
      </w:tr>
      <w:tr>
        <w:tc>
          <w:tcPr/>
          <w:p>
            <w:pPr>
              <w:pStyle w:val="Compact"/>
            </w:pPr>
            <w:r>
              <w:t xml:space="preserve">Kê khai từng lần</w:t>
            </w:r>
          </w:p>
        </w:tc>
        <w:tc>
          <w:tcPr/>
          <w:p>
            <w:pPr>
              <w:pStyle w:val="Compact"/>
            </w:pPr>
            <w:r>
              <w:t xml:space="preserve">Nhà cung cấp nước ngoài kinh doanh không thường xuyên, theo Nghị định 252/2026/NĐ-CP Điều 40 khoản 2 điểm a.2</w:t>
            </w:r>
          </w:p>
        </w:tc>
        <w:tc>
          <w:tcPr/>
          <w:p>
            <w:pPr>
              <w:pStyle w:val="Compact"/>
            </w:pPr>
            <w:r>
              <w:t xml:space="preserve">Trong 10 ngày kể từ ngày phát sinh nghĩa vụ thuế</w:t>
            </w:r>
          </w:p>
        </w:tc>
      </w:tr>
    </w:tbl>
    <w:p>
      <w:pPr>
        <w:pStyle w:val="BodyText"/>
      </w:pPr>
      <w:r>
        <w:rPr>
          <w:b/>
          <w:bCs/>
        </w:rPr>
        <w:t xml:space="preserve">3.3. Hóa đơn điện tử.</w:t>
      </w:r>
      <w:r>
        <w:t xml:space="preserve"> </w:t>
      </w:r>
      <w:r>
        <w:t xml:space="preserve">oBacker đăng ký, kích hoạt hệ thống hóa đơn điện tử theo</w:t>
      </w:r>
      <w:r>
        <w:t xml:space="preserve"> </w:t>
      </w:r>
      <w:r>
        <w:rPr>
          <w:b/>
          <w:bCs/>
        </w:rPr>
        <w:t xml:space="preserve">Nghị định 254/2026/NĐ-CP</w:t>
      </w:r>
      <w:r>
        <w:t xml:space="preserve"> </w:t>
      </w:r>
      <w:r>
        <w:t xml:space="preserve">và</w:t>
      </w:r>
      <w:r>
        <w:t xml:space="preserve"> </w:t>
      </w:r>
      <w:r>
        <w:rPr>
          <w:b/>
          <w:bCs/>
        </w:rPr>
        <w:t xml:space="preserve">Thông tư 91/2026/TT-BTC</w:t>
      </w:r>
      <w:r>
        <w:t xml:space="preserve">; thiết lập ký hiệu mẫu hóa đơn, dải số hóa đơn; tư vấn quy định về hóa đơn điện tử.</w:t>
      </w:r>
      <w:r>
        <w:t xml:space="preserve"> </w:t>
      </w:r>
      <w:r>
        <w:rPr>
          <w:b/>
          <w:bCs/>
        </w:rPr>
        <w:t xml:space="preserve">oBacker không xuất hóa đơn bán ra thay Quý Khách</w:t>
      </w:r>
      <w:r>
        <w:t xml:space="preserve"> </w:t>
      </w:r>
      <w:r>
        <w:t xml:space="preserve">trong các gói tiêu chuẩn; Quý Khách tự xuất trên phần mềm đã được thiết lập. Nếu Quý Khách muốn oBacker xuất thay, đây là dịch vụ bổ sung ngoài gói (tính phí riêng).</w:t>
      </w:r>
    </w:p>
    <w:p>
      <w:pPr>
        <w:pStyle w:val="BodyText"/>
      </w:pPr>
      <w:r>
        <w:rPr>
          <w:b/>
          <w:bCs/>
        </w:rPr>
        <w:t xml:space="preserve">3.4. Ngoài phạm vi:</w:t>
      </w:r>
    </w:p>
    <w:p>
      <w:pPr>
        <w:pStyle w:val="Compact"/>
        <w:numPr>
          <w:ilvl w:val="0"/>
          <w:numId w:val="1005"/>
        </w:numPr>
      </w:pPr>
      <w:r>
        <w:t xml:space="preserve">Không lập kế hoạch hoặc tối ưu thuế; thuộc Dịch Vụ Pháp Lý (PL-PL)</w:t>
      </w:r>
    </w:p>
    <w:p>
      <w:pPr>
        <w:pStyle w:val="Compact"/>
        <w:numPr>
          <w:ilvl w:val="0"/>
          <w:numId w:val="1005"/>
        </w:numPr>
      </w:pPr>
      <w:r>
        <w:t xml:space="preserve">Không nộp thay tiền thuế; Quý Khách tự nộp theo thông báo.</w:t>
      </w:r>
      <w:r>
        <w:t xml:space="preserve"> </w:t>
      </w:r>
      <w:r>
        <w:rPr>
          <w:i/>
          <w:iCs/>
        </w:rPr>
        <w:t xml:space="preserve">(Ngoại lệ: nếu Quý Khách yêu cầu liên kết tài khoản thuế điện tử với tài khoản ngân hàng và đã xác nhận tờ khai, oBacker thực hiện nộp tiền thuế thay.)</w:t>
      </w:r>
    </w:p>
    <w:p>
      <w:pPr>
        <w:pStyle w:val="Compact"/>
        <w:numPr>
          <w:ilvl w:val="0"/>
          <w:numId w:val="1005"/>
        </w:numPr>
      </w:pPr>
      <w:r>
        <w:t xml:space="preserve">Không bảo đảm</w:t>
      </w:r>
      <w:r>
        <w:t xml:space="preserve"> </w:t>
      </w:r>
      <w:r>
        <w:t xml:space="preserve">“không bị truy thu hoặc xử phạt”</w:t>
      </w:r>
      <w:r>
        <w:t xml:space="preserve"> </w:t>
      </w:r>
      <w:r>
        <w:t xml:space="preserve">khi nguyên nhân xuất phát từ thông tin Quý Khách cung cấp sai hoặc thiếu.</w:t>
      </w:r>
    </w:p>
    <w:p>
      <w:pPr>
        <w:pStyle w:val="FirstParagraph"/>
      </w:pPr>
      <w:r>
        <w:rPr>
          <w:b/>
          <w:bCs/>
        </w:rPr>
        <w:t xml:space="preserve">3.5. Nguyên tắc thời hạn.</w:t>
      </w:r>
      <w:r>
        <w:t xml:space="preserve"> </w:t>
      </w:r>
      <w:r>
        <w:t xml:space="preserve">oBacker bám sát các thời hạn theo pháp luật với điều kiện Quý Khách gửi đủ chứng từ trước Ngày Chốt Số Liệu. Nếu chứng từ đến trễ, oBacker vẫn xử lý nhưng không chịu trách nhiệm về tiền chậm nộp hoặc tiền phạt phát sinh do việc gửi trễ từ phía Quý Khách.</w:t>
      </w:r>
    </w:p>
    <w:bookmarkEnd w:id="13"/>
    <w:bookmarkStart w:id="14" w:name="điều-4.-sản-phẩm-bàn-giao"/>
    <w:p>
      <w:pPr>
        <w:pStyle w:val="Heading2"/>
      </w:pPr>
      <w:r>
        <w:t xml:space="preserve">Điều 4. Sản phẩm bàn giao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Hợp phần</w:t>
            </w:r>
          </w:p>
        </w:tc>
        <w:tc>
          <w:tcPr/>
          <w:p>
            <w:pPr>
              <w:pStyle w:val="Compact"/>
            </w:pPr>
            <w:r>
              <w:t xml:space="preserve">Sản phẩm bàn giao</w:t>
            </w:r>
          </w:p>
        </w:tc>
        <w:tc>
          <w:tcPr/>
          <w:p>
            <w:pPr>
              <w:pStyle w:val="Compact"/>
            </w:pPr>
            <w:r>
              <w:t xml:space="preserve">Tần suất</w:t>
            </w:r>
          </w:p>
        </w:tc>
      </w:tr>
      <w:tr>
        <w:tc>
          <w:tcPr/>
          <w:p>
            <w:pPr>
              <w:pStyle w:val="Compact"/>
            </w:pPr>
            <w:r>
              <w:t xml:space="preserve">A; Kế toán</w:t>
            </w:r>
          </w:p>
        </w:tc>
        <w:tc>
          <w:tcPr/>
          <w:p>
            <w:pPr>
              <w:pStyle w:val="Compact"/>
            </w:pPr>
            <w:r>
              <w:t xml:space="preserve">Báo cáo tài chính nội bộ</w:t>
            </w:r>
          </w:p>
        </w:tc>
        <w:tc>
          <w:tcPr/>
          <w:p>
            <w:pPr>
              <w:pStyle w:val="Compact"/>
            </w:pPr>
            <w:r>
              <w:t xml:space="preserve">Hằng tháng</w:t>
            </w:r>
          </w:p>
        </w:tc>
      </w:tr>
      <w:tr>
        <w:tc>
          <w:tcPr/>
          <w:p>
            <w:pPr>
              <w:pStyle w:val="Compact"/>
            </w:pPr>
            <w:r>
              <w:t xml:space="preserve">A; Kế toán</w:t>
            </w:r>
          </w:p>
        </w:tc>
        <w:tc>
          <w:tcPr/>
          <w:p>
            <w:pPr>
              <w:pStyle w:val="Compact"/>
            </w:pPr>
            <w:r>
              <w:t xml:space="preserve">Sổ sách kế toán theo quy định của pháp luật;</w:t>
            </w:r>
            <w:r>
              <w:t xml:space="preserve">BCTC năm</w:t>
            </w:r>
          </w:p>
        </w:tc>
        <w:tc>
          <w:tcPr/>
          <w:p>
            <w:pPr>
              <w:pStyle w:val="Compact"/>
            </w:pPr>
            <w:r>
              <w:t xml:space="preserve">Hằng năm</w:t>
            </w:r>
          </w:p>
        </w:tc>
      </w:tr>
      <w:tr>
        <w:tc>
          <w:tcPr/>
          <w:p>
            <w:pPr>
              <w:pStyle w:val="Compact"/>
            </w:pPr>
            <w:r>
              <w:t xml:space="preserve">B; Thuế</w:t>
            </w:r>
          </w:p>
        </w:tc>
        <w:tc>
          <w:tcPr/>
          <w:p>
            <w:pPr>
              <w:pStyle w:val="Compact"/>
            </w:pPr>
            <w:r>
              <w:t xml:space="preserve">Tờ khai GTGT, FCT đã nộp kèm xác nhận của hệ thống thuế điện tử</w:t>
            </w:r>
          </w:p>
        </w:tc>
        <w:tc>
          <w:tcPr/>
          <w:p>
            <w:pPr>
              <w:pStyle w:val="Compact"/>
            </w:pPr>
            <w:r>
              <w:t xml:space="preserve">Theo kỳ / khi phát sinh</w:t>
            </w:r>
          </w:p>
        </w:tc>
      </w:tr>
      <w:tr>
        <w:tc>
          <w:tcPr/>
          <w:p>
            <w:pPr>
              <w:pStyle w:val="Compact"/>
            </w:pPr>
            <w:r>
              <w:t xml:space="preserve">B; Thuế</w:t>
            </w:r>
          </w:p>
        </w:tc>
        <w:tc>
          <w:tcPr/>
          <w:p>
            <w:pPr>
              <w:pStyle w:val="Compact"/>
            </w:pPr>
            <w:r>
              <w:t xml:space="preserve">Hồ sơ quyết toán TNDN;</w:t>
            </w:r>
            <w:r>
              <w:t xml:space="preserve">thông báo nghĩa vụ thuế và thời hạn nộp</w:t>
            </w:r>
          </w:p>
        </w:tc>
        <w:tc>
          <w:tcPr/>
          <w:p>
            <w:pPr>
              <w:pStyle w:val="Compact"/>
            </w:pPr>
            <w:r>
              <w:t xml:space="preserve">Hằng năm / theo kỳ</w:t>
            </w:r>
          </w:p>
        </w:tc>
      </w:tr>
      <w:tr>
        <w:tc>
          <w:tcPr/>
          <w:p>
            <w:pPr>
              <w:pStyle w:val="Compact"/>
            </w:pPr>
            <w:r>
              <w:t xml:space="preserve">B; Thuế</w:t>
            </w:r>
          </w:p>
        </w:tc>
        <w:tc>
          <w:tcPr/>
          <w:p>
            <w:pPr>
              <w:pStyle w:val="Compact"/>
            </w:pPr>
            <w:r>
              <w:t xml:space="preserve">Thiết lập hệ thống hóa đơn điện tử (ký hiệu mẫu, dải số)</w:t>
            </w:r>
          </w:p>
        </w:tc>
        <w:tc>
          <w:tcPr/>
          <w:p>
            <w:pPr>
              <w:pStyle w:val="Compact"/>
            </w:pPr>
            <w:r>
              <w:t xml:space="preserve">Khi thiết lập / khi thay đổi</w:t>
            </w:r>
          </w:p>
        </w:tc>
      </w:tr>
    </w:tbl>
    <w:bookmarkEnd w:id="14"/>
    <w:bookmarkStart w:id="15" w:name="điều-5.-thời-hạn-và-tiến-độ"/>
    <w:p>
      <w:pPr>
        <w:pStyle w:val="Heading2"/>
      </w:pPr>
      <w:r>
        <w:t xml:space="preserve">Điều 5. Thời hạn và tiến độ</w:t>
      </w:r>
    </w:p>
    <w:p>
      <w:pPr>
        <w:pStyle w:val="FirstParagraph"/>
      </w:pPr>
      <w:r>
        <w:rPr>
          <w:b/>
          <w:bCs/>
        </w:rPr>
        <w:t xml:space="preserve">5.1. Chu kỳ kế toán hằng tháng: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Mốc</w:t>
            </w:r>
          </w:p>
        </w:tc>
        <w:tc>
          <w:tcPr/>
          <w:p>
            <w:pPr>
              <w:pStyle w:val="Compact"/>
            </w:pPr>
            <w:r>
              <w:t xml:space="preserve">Công việc</w:t>
            </w:r>
          </w:p>
        </w:tc>
        <w:tc>
          <w:tcPr/>
          <w:p>
            <w:pPr>
              <w:pStyle w:val="Compact"/>
            </w:pPr>
            <w:r>
              <w:t xml:space="preserve">Bên thực hiện</w:t>
            </w:r>
          </w:p>
        </w:tc>
      </w:tr>
      <w:tr>
        <w:tc>
          <w:tcPr/>
          <w:p>
            <w:pPr>
              <w:pStyle w:val="Compact"/>
            </w:pPr>
            <w:r>
              <w:t xml:space="preserve">Ngày 1-5</w:t>
            </w:r>
          </w:p>
        </w:tc>
        <w:tc>
          <w:tcPr/>
          <w:p>
            <w:pPr>
              <w:pStyle w:val="Compact"/>
            </w:pPr>
            <w:r>
              <w:t xml:space="preserve">Gửi hóa đơn, sao kê, chứng từ và hợp đồng mới phát sinh</w:t>
            </w:r>
          </w:p>
        </w:tc>
        <w:tc>
          <w:tcPr/>
          <w:p>
            <w:pPr>
              <w:pStyle w:val="Compact"/>
            </w:pPr>
            <w:r>
              <w:t xml:space="preserve">Quý Khách</w:t>
            </w:r>
          </w:p>
        </w:tc>
      </w:tr>
      <w:tr>
        <w:tc>
          <w:tcPr/>
          <w:p>
            <w:pPr>
              <w:pStyle w:val="Compact"/>
            </w:pPr>
            <w:r>
              <w:t xml:space="preserve">Ngày 6-10</w:t>
            </w:r>
          </w:p>
        </w:tc>
        <w:tc>
          <w:tcPr/>
          <w:p>
            <w:pPr>
              <w:pStyle w:val="Compact"/>
            </w:pPr>
            <w:r>
              <w:t xml:space="preserve">Ghi sổ và đối chiếu số liệu</w:t>
            </w:r>
          </w:p>
        </w:tc>
        <w:tc>
          <w:tcPr/>
          <w:p>
            <w:pPr>
              <w:pStyle w:val="Compact"/>
            </w:pPr>
            <w:r>
              <w:t xml:space="preserve">oBacker</w:t>
            </w:r>
          </w:p>
        </w:tc>
      </w:tr>
      <w:tr>
        <w:tc>
          <w:tcPr/>
          <w:p>
            <w:pPr>
              <w:pStyle w:val="Compact"/>
            </w:pPr>
            <w:r>
              <w:t xml:space="preserve">Ngày 11-15</w:t>
            </w:r>
          </w:p>
        </w:tc>
        <w:tc>
          <w:tcPr/>
          <w:p>
            <w:pPr>
              <w:pStyle w:val="Compact"/>
            </w:pPr>
            <w:r>
              <w:t xml:space="preserve">Gửi báo cáo tháng</w:t>
            </w:r>
          </w:p>
        </w:tc>
        <w:tc>
          <w:tcPr/>
          <w:p>
            <w:pPr>
              <w:pStyle w:val="Compact"/>
            </w:pPr>
            <w:r>
              <w:t xml:space="preserve">oBacker</w:t>
            </w:r>
          </w:p>
        </w:tc>
      </w:tr>
      <w:tr>
        <w:tc>
          <w:tcPr/>
          <w:p>
            <w:pPr>
              <w:pStyle w:val="Compact"/>
            </w:pPr>
            <w:r>
              <w:t xml:space="preserve">Ngày 16-25</w:t>
            </w:r>
          </w:p>
        </w:tc>
        <w:tc>
          <w:tcPr/>
          <w:p>
            <w:pPr>
              <w:pStyle w:val="Compact"/>
            </w:pPr>
            <w:r>
              <w:t xml:space="preserve">Rà soát, xác nhận số liệu và đóng sổ</w:t>
            </w:r>
          </w:p>
        </w:tc>
        <w:tc>
          <w:tcPr/>
          <w:p>
            <w:pPr>
              <w:pStyle w:val="Compact"/>
            </w:pPr>
            <w:r>
              <w:t xml:space="preserve">Quý Khách &amp; oBacker</w:t>
            </w:r>
          </w:p>
        </w:tc>
      </w:tr>
    </w:tbl>
    <w:p>
      <w:pPr>
        <w:pStyle w:val="BlockText"/>
      </w:pPr>
      <w:r>
        <w:t xml:space="preserve">Nếu đến kỳ chốt mà oBacker chưa nhận đủ số liệu, oBacker ghi sổ/tạm kê khai theo số liệu hiện có để bảo đảm đúng hạn; nếu sau đó phải điều chỉnh, mọi phí điều chỉnh và tiền chậm nộp phát sinh do việc gửi trễ thuộc trách nhiệm Quý Khách.</w:t>
      </w:r>
    </w:p>
    <w:p>
      <w:pPr>
        <w:pStyle w:val="FirstParagraph"/>
      </w:pPr>
      <w:r>
        <w:rPr>
          <w:b/>
          <w:bCs/>
        </w:rPr>
        <w:t xml:space="preserve">5.2. Quy trình kê khai thuế (D = hạn nộp theo luật):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Mốc</w:t>
            </w:r>
          </w:p>
        </w:tc>
        <w:tc>
          <w:tcPr/>
          <w:p>
            <w:pPr>
              <w:pStyle w:val="Compact"/>
            </w:pPr>
            <w:r>
              <w:t xml:space="preserve">Công việc</w:t>
            </w:r>
          </w:p>
        </w:tc>
        <w:tc>
          <w:tcPr/>
          <w:p>
            <w:pPr>
              <w:pStyle w:val="Compact"/>
            </w:pPr>
            <w:r>
              <w:t xml:space="preserve">Bên thực hiện</w:t>
            </w:r>
          </w:p>
        </w:tc>
      </w:tr>
      <w:tr>
        <w:tc>
          <w:tcPr/>
          <w:p>
            <w:pPr>
              <w:pStyle w:val="Compact"/>
            </w:pPr>
            <w:r>
              <w:t xml:space="preserve">D-10</w:t>
            </w:r>
          </w:p>
        </w:tc>
        <w:tc>
          <w:tcPr/>
          <w:p>
            <w:pPr>
              <w:pStyle w:val="Compact"/>
            </w:pPr>
            <w:r>
              <w:t xml:space="preserve">Gửi bản nháp tờ khai</w:t>
            </w:r>
          </w:p>
        </w:tc>
        <w:tc>
          <w:tcPr/>
          <w:p>
            <w:pPr>
              <w:pStyle w:val="Compact"/>
            </w:pPr>
            <w:r>
              <w:t xml:space="preserve">oBacker</w:t>
            </w:r>
          </w:p>
        </w:tc>
      </w:tr>
      <w:tr>
        <w:tc>
          <w:tcPr/>
          <w:p>
            <w:pPr>
              <w:pStyle w:val="Compact"/>
            </w:pPr>
            <w:r>
              <w:t xml:space="preserve">D-7</w:t>
            </w:r>
          </w:p>
        </w:tc>
        <w:tc>
          <w:tcPr/>
          <w:p>
            <w:pPr>
              <w:pStyle w:val="Compact"/>
            </w:pPr>
            <w:r>
              <w:t xml:space="preserve">Xác nhận tờ khai</w:t>
            </w:r>
          </w:p>
        </w:tc>
        <w:tc>
          <w:tcPr/>
          <w:p>
            <w:pPr>
              <w:pStyle w:val="Compact"/>
            </w:pPr>
            <w:r>
              <w:t xml:space="preserve">Quý Khách</w:t>
            </w:r>
          </w:p>
        </w:tc>
      </w:tr>
      <w:tr>
        <w:tc>
          <w:tcPr/>
          <w:p>
            <w:pPr>
              <w:pStyle w:val="Compact"/>
            </w:pPr>
            <w:r>
              <w:t xml:space="preserve">D-5</w:t>
            </w:r>
          </w:p>
        </w:tc>
        <w:tc>
          <w:tcPr/>
          <w:p>
            <w:pPr>
              <w:pStyle w:val="Compact"/>
            </w:pPr>
            <w:r>
              <w:t xml:space="preserve">Nộp tờ khai qua hệ thống thuế điện tử</w:t>
            </w:r>
          </w:p>
        </w:tc>
        <w:tc>
          <w:tcPr/>
          <w:p>
            <w:pPr>
              <w:pStyle w:val="Compact"/>
            </w:pPr>
            <w:r>
              <w:t xml:space="preserve">oBacker</w:t>
            </w:r>
          </w:p>
        </w:tc>
      </w:tr>
      <w:tr>
        <w:tc>
          <w:tcPr/>
          <w:p>
            <w:pPr>
              <w:pStyle w:val="Compact"/>
            </w:pPr>
            <w:r>
              <w:t xml:space="preserve">D-3</w:t>
            </w:r>
          </w:p>
        </w:tc>
        <w:tc>
          <w:tcPr/>
          <w:p>
            <w:pPr>
              <w:pStyle w:val="Compact"/>
            </w:pPr>
            <w:r>
              <w:t xml:space="preserve">Nộp tiền thuế (nếu có)</w:t>
            </w:r>
          </w:p>
        </w:tc>
        <w:tc>
          <w:tcPr/>
          <w:p>
            <w:pPr>
              <w:pStyle w:val="Compact"/>
            </w:pPr>
            <w:r>
              <w:t xml:space="preserve">Quý Khách</w:t>
            </w:r>
          </w:p>
        </w:tc>
      </w:tr>
    </w:tbl>
    <w:p>
      <w:pPr>
        <w:pStyle w:val="BlockText"/>
      </w:pPr>
      <w:r>
        <w:t xml:space="preserve">Nếu Quý Khách không xác nhận tờ khai trước thời hạn, sự im lặng này được xem là đã đồng ý và oBacker nộp tờ khai để bảo đảm đúng hạn. Nếu sau đó Quý Khách yêu cầu điều chỉnh, mọi chi phí chậm nộp phát sinh từ việc điều chỉnh do Quý Khách chịu.</w:t>
      </w:r>
    </w:p>
    <w:p>
      <w:pPr>
        <w:pStyle w:val="FirstParagraph"/>
      </w:pPr>
      <w:r>
        <w:rPr>
          <w:b/>
          <w:bCs/>
        </w:rPr>
        <w:t xml:space="preserve">5.3. Thời hạn theo pháp luật (tham chiếu):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Nghĩa vụ</w:t>
            </w:r>
          </w:p>
        </w:tc>
        <w:tc>
          <w:tcPr/>
          <w:p>
            <w:pPr>
              <w:pStyle w:val="Compact"/>
            </w:pPr>
            <w:r>
              <w:t xml:space="preserve">Kỳ</w:t>
            </w:r>
          </w:p>
        </w:tc>
        <w:tc>
          <w:tcPr/>
          <w:p>
            <w:pPr>
              <w:pStyle w:val="Compact"/>
            </w:pPr>
            <w:r>
              <w:t xml:space="preserve">Hạn chót</w:t>
            </w:r>
          </w:p>
        </w:tc>
      </w:tr>
      <w:tr>
        <w:tc>
          <w:tcPr/>
          <w:p>
            <w:pPr>
              <w:pStyle w:val="Compact"/>
            </w:pPr>
            <w:r>
              <w:t xml:space="preserve">Tờ khai GTGT theo quý</w:t>
            </w:r>
          </w:p>
        </w:tc>
        <w:tc>
          <w:tcPr/>
          <w:p>
            <w:pPr>
              <w:pStyle w:val="Compact"/>
            </w:pPr>
            <w:r>
              <w:t xml:space="preserve">Quý N</w:t>
            </w:r>
          </w:p>
        </w:tc>
        <w:tc>
          <w:tcPr/>
          <w:p>
            <w:pPr>
              <w:pStyle w:val="Compact"/>
            </w:pPr>
            <w:r>
              <w:t xml:space="preserve">Ngày cuối tháng đầu của Quý N+1</w:t>
            </w:r>
          </w:p>
        </w:tc>
      </w:tr>
      <w:tr>
        <w:tc>
          <w:tcPr/>
          <w:p>
            <w:pPr>
              <w:pStyle w:val="Compact"/>
            </w:pPr>
            <w:r>
              <w:t xml:space="preserve">Tạm nộp TNDN</w:t>
            </w:r>
          </w:p>
        </w:tc>
        <w:tc>
          <w:tcPr/>
          <w:p>
            <w:pPr>
              <w:pStyle w:val="Compact"/>
            </w:pPr>
            <w:r>
              <w:t xml:space="preserve">Năm</w:t>
            </w:r>
          </w:p>
        </w:tc>
        <w:tc>
          <w:tcPr/>
          <w:p>
            <w:pPr>
              <w:pStyle w:val="Compact"/>
            </w:pPr>
            <w:r>
              <w:t xml:space="preserve">Đủ 80% trước ngày 30/01 năm sau</w:t>
            </w:r>
          </w:p>
        </w:tc>
      </w:tr>
      <w:tr>
        <w:tc>
          <w:tcPr/>
          <w:p>
            <w:pPr>
              <w:pStyle w:val="Compact"/>
            </w:pPr>
            <w:r>
              <w:t xml:space="preserve">Quyết toán TNDN, BCTC năm</w:t>
            </w:r>
          </w:p>
        </w:tc>
        <w:tc>
          <w:tcPr/>
          <w:p>
            <w:pPr>
              <w:pStyle w:val="Compact"/>
            </w:pPr>
            <w:r>
              <w:t xml:space="preserve">Năm N</w:t>
            </w:r>
          </w:p>
        </w:tc>
        <w:tc>
          <w:tcPr/>
          <w:p>
            <w:pPr>
              <w:pStyle w:val="Compact"/>
            </w:pPr>
            <w:r>
              <w:t xml:space="preserve">Ngày cuối tháng 3 năm N+1</w:t>
            </w:r>
          </w:p>
        </w:tc>
      </w:tr>
      <w:tr>
        <w:tc>
          <w:tcPr/>
          <w:p>
            <w:pPr>
              <w:pStyle w:val="Compact"/>
            </w:pPr>
            <w:r>
              <w:t xml:space="preserve">FCT; kê khai theo tháng</w:t>
            </w:r>
          </w:p>
        </w:tc>
        <w:tc>
          <w:tcPr/>
          <w:p>
            <w:pPr>
              <w:pStyle w:val="Compact"/>
            </w:pPr>
            <w:r>
              <w:t xml:space="preserve">Tháng</w:t>
            </w:r>
          </w:p>
        </w:tc>
        <w:tc>
          <w:tcPr/>
          <w:p>
            <w:pPr>
              <w:pStyle w:val="Compact"/>
            </w:pPr>
            <w:r>
              <w:t xml:space="preserve">Ngày 20 tháng kế tiếp</w:t>
            </w:r>
          </w:p>
        </w:tc>
      </w:tr>
      <w:tr>
        <w:tc>
          <w:tcPr/>
          <w:p>
            <w:pPr>
              <w:pStyle w:val="Compact"/>
            </w:pPr>
            <w:r>
              <w:t xml:space="preserve">FCT; kê khai từng lần</w:t>
            </w:r>
          </w:p>
        </w:tc>
        <w:tc>
          <w:tcPr/>
          <w:p>
            <w:pPr>
              <w:pStyle w:val="Compact"/>
            </w:pPr>
            <w:r>
              <w:t xml:space="preserve">Khi phát sinh</w:t>
            </w:r>
          </w:p>
        </w:tc>
        <w:tc>
          <w:tcPr/>
          <w:p>
            <w:pPr>
              <w:pStyle w:val="Compact"/>
            </w:pPr>
            <w:r>
              <w:t xml:space="preserve">Trong 10 ngày kể từ ngày phát sinh nghĩa vụ</w:t>
            </w:r>
          </w:p>
        </w:tc>
      </w:tr>
    </w:tbl>
    <w:p>
      <w:pPr>
        <w:pStyle w:val="BodyText"/>
      </w:pPr>
      <w:r>
        <w:rPr>
          <w:i/>
          <w:iCs/>
        </w:rPr>
        <w:t xml:space="preserve">Thời hạn pháp định theo Luật Quản lý thuế 108/2025/QH15 và văn bản hướng dẫn hiện hành; lịch cụ thể từng kỳ được oBacker xác nhận với Quý Khách.</w:t>
      </w:r>
    </w:p>
    <w:bookmarkEnd w:id="15"/>
    <w:bookmarkStart w:id="16" w:name="Xce4cd451b34fb5472726bd3fad7618cc5d462bc"/>
    <w:p>
      <w:pPr>
        <w:pStyle w:val="Heading2"/>
      </w:pPr>
      <w:r>
        <w:t xml:space="preserve">Điều 6. Tài liệu và thông tin Quý Khách cung cấp</w:t>
      </w:r>
    </w:p>
    <w:p>
      <w:pPr>
        <w:pStyle w:val="FirstParagraph"/>
      </w:pPr>
      <w:r>
        <w:rPr>
          <w:b/>
          <w:bCs/>
        </w:rPr>
        <w:t xml:space="preserve">6.1. Khi thiết lập ban đầu:</w:t>
      </w:r>
      <w:r>
        <w:t xml:space="preserve"> </w:t>
      </w:r>
      <w:r>
        <w:t xml:space="preserve">ERC mới nhất; IRC (nếu FDI); Điều lệ công ty; BCTC năm gần nhất; bảng cân đối số phát sinh; sổ nhật ký chung năm gần nhất; danh sách tài sản cố định kèm khấu hao; toàn bộ hợp đồng đang hiệu lực (thuê VP, vay, đầu tư, mua bán, dịch vụ…); sao kê ngân hàng 12 tháng gần nhất của tất cả tài khoản (kèm mật khẩu mở tệp); thông tin đăng nhập hoặc quyền tài khoản phụ cho hóa đơn điện tử, thuế điện tử và dịch vụ công; giấy ủy quyền làm việc với cơ quan thuế.</w:t>
      </w:r>
    </w:p>
    <w:p>
      <w:pPr>
        <w:pStyle w:val="BodyText"/>
      </w:pPr>
      <w:r>
        <w:rPr>
          <w:b/>
          <w:bCs/>
        </w:rPr>
        <w:t xml:space="preserve">6.2. Định kỳ hằng tháng (trước Ngày Chốt Số Liệu):</w:t>
      </w:r>
      <w:r>
        <w:t xml:space="preserve"> </w:t>
      </w:r>
      <w:r>
        <w:t xml:space="preserve">hóa đơn đầu vào (PDF và XML); sao kê ngân hàng tháng liền trước (tất cả tài khoản); phiếu thu, phiếu chi tiền mặt; hợp đồng mới phát sinh; thông báo từ cơ quan nhà nước (chuyển tiếp nguyên email).</w:t>
      </w:r>
    </w:p>
    <w:p>
      <w:pPr>
        <w:pStyle w:val="BodyText"/>
      </w:pPr>
      <w:r>
        <w:rPr>
          <w:b/>
          <w:bCs/>
        </w:rPr>
        <w:t xml:space="preserve">6.3. Thông báo theo sự kiện:</w:t>
      </w:r>
    </w:p>
    <w:p>
      <w:pPr>
        <w:pStyle w:val="Compact"/>
        <w:numPr>
          <w:ilvl w:val="0"/>
          <w:numId w:val="1006"/>
        </w:numPr>
      </w:pPr>
      <w:r>
        <w:rPr>
          <w:b/>
          <w:bCs/>
        </w:rPr>
        <w:t xml:space="preserve">Giao dịch thanh toán cho nhà cung cấp nước ngoài</w:t>
      </w:r>
      <w:r>
        <w:t xml:space="preserve"> </w:t>
      </w:r>
      <w:r>
        <w:t xml:space="preserve">(phần mềm dịch vụ SaaS, quảng cáo trực tuyến, lưu trữ web, bản quyền): thông báo ngay, kèm hóa đơn/biên nhận, chứng từ thanh toán và mô tả dịch vụ, để oBacker xác định và kê khai FCT đúng hạn</w:t>
      </w:r>
    </w:p>
    <w:p>
      <w:pPr>
        <w:pStyle w:val="Compact"/>
        <w:numPr>
          <w:ilvl w:val="0"/>
          <w:numId w:val="1006"/>
        </w:numPr>
      </w:pPr>
      <w:r>
        <w:t xml:space="preserve">Quý Khách phản hồi và xác nhận số liệu trước khi oBacker khóa sổ, trong thời hạn ghi tại Đơn Đặt Hàng.</w:t>
      </w:r>
    </w:p>
    <w:bookmarkEnd w:id="16"/>
    <w:bookmarkStart w:id="17" w:name="Xa31f8762fe54514c955d03e423645b4bceddc4f"/>
    <w:p>
      <w:pPr>
        <w:pStyle w:val="Heading2"/>
      </w:pPr>
      <w:r>
        <w:t xml:space="preserve">Điều 7. Phối hợp khi cơ quan thuế thanh tra, kiểm tra</w:t>
      </w:r>
    </w:p>
    <w:p>
      <w:pPr>
        <w:pStyle w:val="FirstParagraph"/>
      </w:pPr>
      <w:r>
        <w:t xml:space="preserve">oBacker cung cấp bản sao sổ sách điện tử và hỗ trợ giải trình số liệu đã xử lý. Quý Khách xuất trình chứng từ gốc, giấy tờ nội bộ đi kèm và giải trình bản chất nghiệp vụ kinh tế. oBacker không chịu trách nhiệm về tính hợp pháp của chứng từ hoặc quyết định xử phạt phát sinh từ thông tin Quý Khách cung cấp sai hoặc thiếu (xem Điều 8).</w:t>
      </w:r>
    </w:p>
    <w:bookmarkEnd w:id="17"/>
    <w:bookmarkStart w:id="18" w:name="Xe18ec053c50ed4b9d298200cf74829fc8107377"/>
    <w:p>
      <w:pPr>
        <w:pStyle w:val="Heading2"/>
      </w:pPr>
      <w:r>
        <w:t xml:space="preserve">Điều 8. Phân định trách nhiệm và cơ chế bồi thường</w:t>
      </w:r>
    </w:p>
    <w:p>
      <w:pPr>
        <w:pStyle w:val="FirstParagraph"/>
      </w:pPr>
      <w:r>
        <w:t xml:space="preserve">Áp dụng cơ chế chịu trách nhiệm theo bản chất của lỗi tại</w:t>
      </w:r>
      <w:r>
        <w:t xml:space="preserve"> </w:t>
      </w:r>
      <w:r>
        <w:rPr>
          <w:b/>
          <w:bCs/>
        </w:rPr>
        <w:t xml:space="preserve">Điều 9 Bản Điều Khoản Chung</w:t>
      </w:r>
      <w:r>
        <w:t xml:space="preserve">:</w:t>
      </w:r>
    </w:p>
    <w:p>
      <w:pPr>
        <w:pStyle w:val="BodyText"/>
      </w:pPr>
      <w:r>
        <w:rPr>
          <w:b/>
          <w:bCs/>
        </w:rPr>
        <w:t xml:space="preserve">(a) Lỗi về hình thức và thời hạn; oBacker chịu 100%.</w:t>
      </w:r>
      <w:r>
        <w:t xml:space="preserve"> </w:t>
      </w:r>
      <w:r>
        <w:t xml:space="preserve">Nộp tờ khai trễ hạn (khi Quý Khách đã chốt số liệu và xác nhận đúng lịch), kê khai sai biểu mẫu, nộp sai cơ quan thuế → oBacker chịu</w:t>
      </w:r>
      <w:r>
        <w:t xml:space="preserve"> </w:t>
      </w:r>
      <w:r>
        <w:rPr>
          <w:b/>
          <w:bCs/>
        </w:rPr>
        <w:t xml:space="preserve">toàn bộ tiền phạt vi phạm hành chính và tiền chậm nộp</w:t>
      </w:r>
      <w:r>
        <w:t xml:space="preserve"> </w:t>
      </w:r>
      <w:r>
        <w:t xml:space="preserve">phát sinh trực tiếp từ lỗi này.</w:t>
      </w:r>
    </w:p>
    <w:p>
      <w:pPr>
        <w:pStyle w:val="BodyText"/>
      </w:pPr>
      <w:r>
        <w:rPr>
          <w:b/>
          <w:bCs/>
        </w:rPr>
        <w:t xml:space="preserve">(b) Lỗi về nội dung và số liệu; theo nguồn gốc lỗi:</w:t>
      </w:r>
      <w:r>
        <w:t xml:space="preserve"> </w:t>
      </w:r>
      <w:r>
        <w:t xml:space="preserve">- Nếu số liệu sai do</w:t>
      </w:r>
      <w:r>
        <w:t xml:space="preserve"> </w:t>
      </w:r>
      <w:r>
        <w:rPr>
          <w:b/>
          <w:bCs/>
        </w:rPr>
        <w:t xml:space="preserve">oBacker hạch toán/nhập liệu sai</w:t>
      </w:r>
      <w:r>
        <w:t xml:space="preserve"> </w:t>
      </w:r>
      <w:r>
        <w:t xml:space="preserve">so với chứng từ đúng Quý Khách cung cấp → oBacker bồi thường khoản phạt hành chính tương ứng</w:t>
      </w:r>
      <w:r>
        <w:t xml:space="preserve"> </w:t>
      </w:r>
      <w:r>
        <w:t xml:space="preserve">- Nếu số liệu sai lệch, thiếu sót hoặc bị truy thu do</w:t>
      </w:r>
      <w:r>
        <w:t xml:space="preserve"> </w:t>
      </w:r>
      <w:r>
        <w:rPr>
          <w:b/>
          <w:bCs/>
        </w:rPr>
        <w:t xml:space="preserve">Quý Khách cung cấp chứng từ sai, giả, thiếu, hoặc cố tình che giấu giao dịch</w:t>
      </w:r>
      <w:r>
        <w:t xml:space="preserve"> </w:t>
      </w:r>
      <w:r>
        <w:t xml:space="preserve">→ Quý Khách tự chịu 100% trách nhiệm, mọi khoản truy thu và tiền phạt. oBacker được miễn trừ.</w:t>
      </w:r>
    </w:p>
    <w:p>
      <w:pPr>
        <w:pStyle w:val="BodyText"/>
      </w:pPr>
      <w:r>
        <w:rPr>
          <w:b/>
          <w:bCs/>
        </w:rPr>
        <w:t xml:space="preserve">(c) Lỗi hỗn hợp:</w:t>
      </w:r>
      <w:r>
        <w:t xml:space="preserve"> </w:t>
      </w:r>
      <w:r>
        <w:t xml:space="preserve">hai Bên làm rõ và phân chia theo tỷ lệ lỗi.</w:t>
      </w:r>
    </w:p>
    <w:p>
      <w:pPr>
        <w:pStyle w:val="BodyText"/>
      </w:pPr>
      <w:r>
        <w:t xml:space="preserve">Cơ sở pháp lý về xử phạt tham chiếu: Nghị định 125/2020/NĐ-CP (thuế, hóa đơn).</w:t>
      </w:r>
    </w:p>
    <w:bookmarkEnd w:id="18"/>
    <w:bookmarkStart w:id="19" w:name="điều-9.-chấm-dứt-và-bàn-giao"/>
    <w:p>
      <w:pPr>
        <w:pStyle w:val="Heading2"/>
      </w:pPr>
      <w:r>
        <w:t xml:space="preserve">Điều 9. Chấm dứt và bàn giao</w:t>
      </w:r>
    </w:p>
    <w:p>
      <w:pPr>
        <w:pStyle w:val="FirstParagraph"/>
      </w:pPr>
      <w:r>
        <w:t xml:space="preserve">Mỗi Bên có thể chấm dứt Dịch Vụ bằng thông báo trước tối thiểu</w:t>
      </w:r>
      <w:r>
        <w:t xml:space="preserve"> </w:t>
      </w:r>
      <w:r>
        <w:rPr>
          <w:b/>
          <w:bCs/>
        </w:rPr>
        <w:t xml:space="preserve">30 ngày</w:t>
      </w:r>
      <w:r>
        <w:t xml:space="preserve"> </w:t>
      </w:r>
      <w:r>
        <w:t xml:space="preserve">(hoặc thời hạn khác tại Đơn Đặt Hàng); Quý Khách thanh toán phí cho phần công việc đã thực hiện. oBacker bàn giao toàn bộ sổ sách và báo cáo (Excel/PDF), cùng bản gốc tài liệu của Quý Khách nếu đang lưu giữ, trong vòng</w:t>
      </w:r>
      <w:r>
        <w:t xml:space="preserve"> </w:t>
      </w:r>
      <w:r>
        <w:rPr>
          <w:b/>
          <w:bCs/>
        </w:rPr>
        <w:t xml:space="preserve">15 Ngày Làm Việc</w:t>
      </w:r>
      <w:r>
        <w:t xml:space="preserve">; Quý Khách có</w:t>
      </w:r>
      <w:r>
        <w:t xml:space="preserve"> </w:t>
      </w:r>
      <w:r>
        <w:rPr>
          <w:b/>
          <w:bCs/>
        </w:rPr>
        <w:t xml:space="preserve">30 ngày</w:t>
      </w:r>
      <w:r>
        <w:t xml:space="preserve"> </w:t>
      </w:r>
      <w:r>
        <w:t xml:space="preserve">để tải toàn bộ dữ liệu trước khi oBacker lưu trữ hoặc xóa theo quy định.</w:t>
      </w:r>
    </w:p>
    <w:bookmarkEnd w:id="19"/>
    <w:bookmarkStart w:id="20" w:name="điều-10.-phí-dịch-vụ"/>
    <w:p>
      <w:pPr>
        <w:pStyle w:val="Heading2"/>
      </w:pPr>
      <w:r>
        <w:t xml:space="preserve">Điều 10. Phí Dịch Vụ</w:t>
      </w:r>
    </w:p>
    <w:p>
      <w:pPr>
        <w:pStyle w:val="FirstParagraph"/>
      </w:pPr>
      <w:r>
        <w:t xml:space="preserve">Phí Dịch Vụ được xác định theo Đơn Đặt Hàng (theo gói hoặc theo số lượng Giao Dịch). Các tình huống phát sinh phí (điều chỉnh sau khóa sổ, xử lý gấp, ghi sổ bù nhiều kỳ, báo cáo ngoài gói, xuất hóa đơn thay…) được oBacker thông báo trước và chỉ thực hiện sau khi Quý Khách chấp thuận bằng văn bản.</w:t>
      </w:r>
    </w:p>
    <w:p>
      <w:r>
        <w:pict>
          <v:rect style="width:0;height:1.5pt" o:hralign="center" o:hrstd="t" o:hr="t"/>
        </w:pict>
      </w:r>
    </w:p>
    <w:p>
      <w:pPr>
        <w:pStyle w:val="BlockText"/>
      </w:pPr>
      <w:r>
        <w:rPr>
          <w:b/>
          <w:bCs/>
        </w:rPr>
        <w:t xml:space="preserve">Bốn tiêu chí thông tin đầu vào (Điều 3 Bản Điều Khoản Chung):</w:t>
      </w:r>
      <w:r>
        <w:t xml:space="preserve"> </w:t>
      </w:r>
      <w:r>
        <w:t xml:space="preserve">Chính xác; Đầy đủ; Hợp pháp; Đúng hạn. Quý Khách tự lưu trữ chứng từ gốc theo Luật Kế toán; bản sao điện tử do oBacker lưu chỉ mang tính bổ sung, không thay thế nghĩa vụ này.</w:t>
      </w:r>
    </w:p>
    <w:p>
      <w:pPr>
        <w:pStyle w:val="FirstParagraph"/>
      </w:pPr>
      <w:r>
        <w:rPr>
          <w:b/>
          <w:bCs/>
        </w:rPr>
        <w:t xml:space="preserve">Công ty Cổ phần oBacker</w:t>
      </w:r>
      <w:r>
        <w:t xml:space="preserve"> </w:t>
      </w:r>
      <w:r>
        <w:t xml:space="preserve">· MST: 0402298185 · Tầng 2, 06 Trần Phú, Phường Hải Châu, Thành phố Đà Nẵng · contact@obacker.com · www.obacker.com</w:t>
      </w:r>
    </w:p>
    <w:p>
      <w:r>
        <w:pict>
          <v:rect style="width:0;height:1.5pt" o:hralign="center" o:hrstd="t" o:hr="t"/>
        </w:pict>
      </w:r>
    </w:p>
    <w:p>
      <w:pPr>
        <w:pStyle w:val="FirstParagraph"/>
      </w:pPr>
      <w:r>
        <w:rPr>
          <w:i/>
          <w:iCs/>
        </w:rPr>
        <w:t xml:space="preserve">Người sở hữu tài liệu: Ban biên soạn oBacker. Mọi thay đổi phải ghi vào Nhật ký sửa.</w:t>
      </w:r>
    </w:p>
    <w:bookmarkEnd w:id="20"/>
    <w:bookmarkStart w:id="21" w:name="nhật-ký-sửa"/>
    <w:p>
      <w:pPr>
        <w:pStyle w:val="Heading2"/>
      </w:pPr>
      <w:r>
        <w:t xml:space="preserve">NHẬT KÝ SỬA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Ngày</w:t>
            </w:r>
          </w:p>
        </w:tc>
        <w:tc>
          <w:tcPr/>
          <w:p>
            <w:pPr>
              <w:pStyle w:val="Compact"/>
            </w:pPr>
            <w:r>
              <w:t xml:space="preserve">Bản</w:t>
            </w:r>
          </w:p>
        </w:tc>
        <w:tc>
          <w:tcPr/>
          <w:p>
            <w:pPr>
              <w:pStyle w:val="Compact"/>
            </w:pPr>
            <w:r>
              <w:t xml:space="preserve">Nội dung</w:t>
            </w:r>
          </w:p>
        </w:tc>
      </w:tr>
      <w:tr>
        <w:tc>
          <w:tcPr/>
          <w:p>
            <w:pPr>
              <w:pStyle w:val="Compact"/>
            </w:pPr>
            <w:r>
              <w:t xml:space="preserve">21/09/2026</w:t>
            </w:r>
          </w:p>
        </w:tc>
        <w:tc>
          <w:tcPr/>
          <w:p>
            <w:pPr>
              <w:pStyle w:val="Compact"/>
            </w:pPr>
            <w:r>
              <w:t xml:space="preserve">R.1.0.0</w:t>
            </w:r>
          </w:p>
        </w:tc>
        <w:tc>
          <w:tcPr/>
          <w:p>
            <w:pPr>
              <w:pStyle w:val="Compact"/>
            </w:pPr>
            <w:r>
              <w:t xml:space="preserve">Ban hành.</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ĐIỀU KHOẢN DỊCH VỤ KẾ TOÁN &amp; THUẾ (PL-KT)</dc:title>
  <dc:creator/>
  <dc:language>vi-VN</dc:language>
  <cp:keywords/>
  <dcterms:created xsi:type="dcterms:W3CDTF">2026-09-21T06:40:01Z</dcterms:created>
  <dcterms:modified xsi:type="dcterms:W3CDTF">2026-09-21T06:40:01Z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ribution">
    <vt:lpwstr>khách hàng</vt:lpwstr>
  </property>
  <property fmtid="{D5CDD505-2E9C-101B-9397-08002B2CF9AE}" pid="3" name="folder">
    <vt:lpwstr>09_TnC</vt:lpwstr>
  </property>
  <property fmtid="{D5CDD505-2E9C-101B-9397-08002B2CF9AE}" pid="4" name="language">
    <vt:lpwstr>vi</vt:lpwstr>
  </property>
  <property fmtid="{D5CDD505-2E9C-101B-9397-08002B2CF9AE}" pid="5" name="previous_version">
    <vt:lpwstr/>
  </property>
  <property fmtid="{D5CDD505-2E9C-101B-9397-08002B2CF9AE}" pid="6" name="status">
    <vt:lpwstr>đang áp dụng</vt:lpwstr>
  </property>
  <property fmtid="{D5CDD505-2E9C-101B-9397-08002B2CF9AE}" pid="7" name="tags">
    <vt:lpwstr/>
  </property>
  <property fmtid="{D5CDD505-2E9C-101B-9397-08002B2CF9AE}" pid="8" name="type">
    <vt:lpwstr>tnc</vt:lpwstr>
  </property>
  <property fmtid="{D5CDD505-2E9C-101B-9397-08002B2CF9AE}" pid="9" name="version">
    <vt:lpwstr>R.1.0.0</vt:lpwstr>
  </property>
</Properties>
</file>