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ĐIỀU KHOẢN DỊCH VỤ NHÂN SỰ (PL-NS)</w:t>
      </w:r>
    </w:p>
    <w:bookmarkStart w:id="21" w:name="điều-khoản-dịch-vụ-nhân-sự-pl-ns"/>
    <w:p>
      <w:pPr>
        <w:pStyle w:val="Heading1"/>
      </w:pPr>
      <w:r>
        <w:t xml:space="preserve">ĐIỀU KHOẢN DỊCH VỤ NHÂN SỰ (PL-NS)</w:t>
      </w:r>
    </w:p>
    <w:bookmarkStart w:id="9" w:name="điều-khoản-dịch-vụ-cụ-thể"/>
    <w:p>
      <w:pPr>
        <w:pStyle w:val="Heading2"/>
      </w:pPr>
      <w:r>
        <w:t xml:space="preserve">Điều khoản dịch vụ cụ thể</w:t>
      </w:r>
    </w:p>
    <w:p>
      <w:pPr>
        <w:pStyle w:val="FirstParagraph"/>
      </w:pPr>
      <w:r>
        <w:rPr>
          <w:i/>
          <w:iCs/>
        </w:rPr>
        <w:t xml:space="preserve">Điều Khoản Dịch Vụ Cụ Thể, bộ phận không tách rời của Bản Điều Khoản Chung; Công ty Cổ phần oBacker</w:t>
      </w:r>
      <w:r>
        <w:t xml:space="preserve"> </w:t>
      </w:r>
      <w:r>
        <w:t xml:space="preserve">MST: 0402298185 · Tầng 2, 06 Trần Phú, Phường Hải Châu, Thành phố Đà Nẵng · contact@obacker.com</w:t>
      </w:r>
    </w:p>
    <w:p>
      <w:pPr>
        <w:pStyle w:val="BodyText"/>
      </w:pPr>
      <w:r>
        <w:rPr>
          <w:b/>
          <w:bCs/>
        </w:rPr>
        <w:t xml:space="preserve">Phiên bản:</w:t>
      </w:r>
      <w:r>
        <w:t xml:space="preserve"> </w:t>
      </w:r>
      <w:r>
        <w:t xml:space="preserve">R.1.0.0 ·</w:t>
      </w:r>
      <w:r>
        <w:t xml:space="preserve"> </w:t>
      </w:r>
      <w:r>
        <w:rPr>
          <w:b/>
          <w:bCs/>
        </w:rPr>
        <w:t xml:space="preserve">Cập nhật:</w:t>
      </w:r>
      <w:r>
        <w:t xml:space="preserve"> </w:t>
      </w:r>
      <w:r>
        <w:t xml:space="preserve">21/09/2026</w:t>
      </w:r>
    </w:p>
    <w:p>
      <w:pPr>
        <w:pStyle w:val="BlockText"/>
      </w:pPr>
      <w:r>
        <w:t xml:space="preserve">Tài liệu này là Điều Khoản Dịch Vụ Cụ Thể cho Dịch Vụ Nhân Sự (</w:t>
      </w:r>
      <w:r>
        <w:t xml:space="preserve">“</w:t>
      </w:r>
      <w:r>
        <w:rPr>
          <w:b/>
          <w:bCs/>
        </w:rPr>
        <w:t xml:space="preserve">Dịch Vụ</w:t>
      </w:r>
      <w:r>
        <w:t xml:space="preserve">”</w:t>
      </w:r>
      <w:r>
        <w:t xml:space="preserve">): tiền lương, thuế TNCN từ tiền lương, bảo hiểm bắt buộc (BHXH-BHYT-BHTN), hợp đồng và báo cáo lao động. Tài liệu áp dụng khi Dịch Vụ được ghi tại Đơn Đặt Hàng.</w:t>
      </w:r>
      <w:r>
        <w:t xml:space="preserve"> </w:t>
      </w:r>
      <w:r>
        <w:rPr>
          <w:b/>
          <w:bCs/>
        </w:rPr>
        <w:t xml:space="preserve">Nếu tài liệu này khác với Bản Điều Khoản Chung, tài liệu này được ưu tiên áp dụng đối với Dịch Vụ.</w:t>
      </w:r>
    </w:p>
    <w:p>
      <w:r>
        <w:pict>
          <v:rect style="width:0;height:1.5pt" o:hralign="center" o:hrstd="t" o:hr="t"/>
        </w:pict>
      </w:r>
    </w:p>
    <w:bookmarkEnd w:id="9"/>
    <w:bookmarkStart w:id="10" w:name="điều-1.-tổng-quan-và-nguyên-tắc-áp-dụng"/>
    <w:p>
      <w:pPr>
        <w:pStyle w:val="Heading2"/>
      </w:pPr>
      <w:r>
        <w:t xml:space="preserve">Điều 1. Tổng quan và nguyên tắc áp dụng</w:t>
      </w:r>
    </w:p>
    <w:p>
      <w:pPr>
        <w:pStyle w:val="FirstParagraph"/>
      </w:pPr>
      <w:r>
        <w:t xml:space="preserve">oBacker vận hành công tác nhân sự; tiền lương, thuế TNCN từ lương, bảo hiểm bắt buộc và hồ sơ/báo cáo lao động; trên cơ sở thông tin biến động do Quý Khách cung cấp và xác nhận.</w:t>
      </w:r>
      <w:r>
        <w:t xml:space="preserve"> </w:t>
      </w:r>
      <w:r>
        <w:rPr>
          <w:b/>
          <w:bCs/>
        </w:rPr>
        <w:t xml:space="preserve">Quý Khách là người sử dụng lao động và chịu trách nhiệm cuối cùng trước cơ quan nhà nước và người lao động</w:t>
      </w:r>
      <w:r>
        <w:t xml:space="preserve"> </w:t>
      </w:r>
      <w:r>
        <w:t xml:space="preserve">về chính sách lương, quan hệ lao động và tính hợp pháp của các quyết định nhân sự.</w:t>
      </w:r>
    </w:p>
    <w:p>
      <w:pPr>
        <w:pStyle w:val="BodyText"/>
      </w:pPr>
      <w:r>
        <w:t xml:space="preserve">Cơ sở pháp lý chính:</w:t>
      </w:r>
      <w:r>
        <w:t xml:space="preserve"> </w:t>
      </w:r>
      <w:r>
        <w:rPr>
          <w:b/>
          <w:bCs/>
        </w:rPr>
        <w:t xml:space="preserve">Bộ luật Lao động 2019</w:t>
      </w:r>
      <w:r>
        <w:t xml:space="preserve">;</w:t>
      </w:r>
      <w:r>
        <w:t xml:space="preserve"> </w:t>
      </w:r>
      <w:r>
        <w:rPr>
          <w:b/>
          <w:bCs/>
        </w:rPr>
        <w:t xml:space="preserve">Luật Bảo hiểm xã hội số 41/2024/QH15</w:t>
      </w:r>
      <w:r>
        <w:t xml:space="preserve"> </w:t>
      </w:r>
      <w:r>
        <w:t xml:space="preserve">(hiệu lực 01/07/2025);</w:t>
      </w:r>
      <w:r>
        <w:t xml:space="preserve"> </w:t>
      </w:r>
      <w:r>
        <w:rPr>
          <w:b/>
          <w:bCs/>
        </w:rPr>
        <w:t xml:space="preserve">Luật Thuế thu nhập cá nhân</w:t>
      </w:r>
      <w:r>
        <w:t xml:space="preserve"> </w:t>
      </w:r>
      <w:r>
        <w:t xml:space="preserve">và văn bản hướng dẫn hiện hành;</w:t>
      </w:r>
      <w:r>
        <w:t xml:space="preserve"> </w:t>
      </w:r>
      <w:r>
        <w:rPr>
          <w:b/>
          <w:bCs/>
        </w:rPr>
        <w:t xml:space="preserve">Nghị định 12/2022/NĐ-CP</w:t>
      </w:r>
      <w:r>
        <w:t xml:space="preserve"> </w:t>
      </w:r>
      <w:r>
        <w:t xml:space="preserve">(xử phạt vi phạm lao động, BHXH).</w:t>
      </w:r>
    </w:p>
    <w:bookmarkEnd w:id="10"/>
    <w:bookmarkStart w:id="11" w:name="điều-2.-phạm-vi-thực-hiện"/>
    <w:p>
      <w:pPr>
        <w:pStyle w:val="Heading2"/>
      </w:pPr>
      <w:r>
        <w:t xml:space="preserve">Điều 2. Phạm vi thực hiện</w:t>
      </w:r>
    </w:p>
    <w:p>
      <w:pPr>
        <w:pStyle w:val="FirstParagraph"/>
      </w:pPr>
      <w:r>
        <w:rPr>
          <w:b/>
          <w:bCs/>
        </w:rPr>
        <w:t xml:space="preserve">2.1. Tiền lương.</w:t>
      </w:r>
      <w:r>
        <w:t xml:space="preserve"> </w:t>
      </w:r>
      <w:r>
        <w:t xml:space="preserve">oBacker tính lương theo</w:t>
      </w:r>
      <w:r>
        <w:t xml:space="preserve"> </w:t>
      </w:r>
      <w:r>
        <w:rPr>
          <w:b/>
          <w:bCs/>
        </w:rPr>
        <w:t xml:space="preserve">khung tính lương chuẩn của oBacker (Khung tính lương, sau đây gọi là</w:t>
      </w:r>
      <w:r>
        <w:rPr>
          <w:b/>
          <w:bCs/>
        </w:rPr>
        <w:t xml:space="preserve"> </w:t>
      </w:r>
      <w:r>
        <w:rPr>
          <w:b/>
          <w:bCs/>
        </w:rPr>
        <w:t xml:space="preserve">“Khung”</w:t>
      </w:r>
      <w:r>
        <w:rPr>
          <w:b/>
          <w:bCs/>
        </w:rPr>
        <w:t xml:space="preserve">)</w:t>
      </w:r>
      <w:r>
        <w:t xml:space="preserve">, được hai Bên</w:t>
      </w:r>
      <w:r>
        <w:t xml:space="preserve"> </w:t>
      </w:r>
      <w:r>
        <w:rPr>
          <w:b/>
          <w:bCs/>
        </w:rPr>
        <w:t xml:space="preserve">thống nhất bằng văn bản trước khi triển khai</w:t>
      </w:r>
      <w:r>
        <w:t xml:space="preserve"> </w:t>
      </w:r>
      <w:r>
        <w:t xml:space="preserve">(quy tắc chấm công, công thức lương, làm thêm giờ, phụ cấp, thưởng, các khoản khấu trừ). Cụ thể:</w:t>
      </w:r>
    </w:p>
    <w:p>
      <w:pPr>
        <w:pStyle w:val="Compact"/>
        <w:numPr>
          <w:ilvl w:val="0"/>
          <w:numId w:val="1001"/>
        </w:numPr>
      </w:pPr>
      <w:r>
        <w:t xml:space="preserve">Thiết lập Khung tính lương phù hợp gói dịch vụ và thỏa thuận với Quý Khách</w:t>
      </w:r>
    </w:p>
    <w:p>
      <w:pPr>
        <w:pStyle w:val="Compact"/>
        <w:numPr>
          <w:ilvl w:val="0"/>
          <w:numId w:val="1001"/>
        </w:numPr>
      </w:pPr>
      <w:r>
        <w:t xml:space="preserve">Chạy bảng tính lương hàng tháng dựa trên dữ liệu công, phép, làm thêm giờ, thưởng, phụ cấp và biến động do Quý Khách xác nhận, áp dụng theo Khung đã thống nhất</w:t>
      </w:r>
    </w:p>
    <w:p>
      <w:pPr>
        <w:pStyle w:val="Compact"/>
        <w:numPr>
          <w:ilvl w:val="0"/>
          <w:numId w:val="1001"/>
        </w:numPr>
      </w:pPr>
      <w:r>
        <w:t xml:space="preserve">Tính các khoản khấu trừ theo lương (TNCN, phần BHXH-BHYT-BHTN của người lao động, công đoàn nếu có)</w:t>
      </w:r>
    </w:p>
    <w:p>
      <w:pPr>
        <w:pStyle w:val="Compact"/>
        <w:numPr>
          <w:ilvl w:val="0"/>
          <w:numId w:val="1001"/>
        </w:numPr>
      </w:pPr>
      <w:r>
        <w:t xml:space="preserve">Phát hành phiếu lương cho từng người lao động qua kênh do Quý Khách chỉ định.</w:t>
      </w:r>
    </w:p>
    <w:p>
      <w:pPr>
        <w:pStyle w:val="FirstParagraph"/>
      </w:pPr>
      <w:r>
        <w:rPr>
          <w:b/>
          <w:bCs/>
        </w:rPr>
        <w:t xml:space="preserve">Giới hạn tùy biến.</w:t>
      </w:r>
      <w:r>
        <w:t xml:space="preserve"> </w:t>
      </w:r>
      <w:r>
        <w:t xml:space="preserve">oBacker tính lương theo Khung đã thống nhất và các quy tắc tiêu chuẩn hoặc ít tùy biến. Nếu Quý Khách có</w:t>
      </w:r>
      <w:r>
        <w:t xml:space="preserve"> </w:t>
      </w:r>
      <w:r>
        <w:rPr>
          <w:b/>
          <w:bCs/>
        </w:rPr>
        <w:t xml:space="preserve">cơ chế tính lương/chấm công phức tạp hoặc tùy biến cao vượt Khung</w:t>
      </w:r>
      <w:r>
        <w:t xml:space="preserve"> </w:t>
      </w:r>
      <w:r>
        <w:t xml:space="preserve">(ví dụ: công thức chấm công đặc thù nhiều biến số, KPI/hoa hồng phức tạp, ca kíp không chuẩn…), hai Bên thống nhất một trong các phương án: (i) Quý Khách cung cấp sẵn số liệu đã xử lý phần phức tạp để oBacker đưa vào bảng lương; (ii) đơn giản hóa quy tắc để đưa vào Khung; hoặc (iii) thực hiện như dịch vụ bổ sung ngoài gói (tính phí riêng) nếu khả thi.</w:t>
      </w:r>
      <w:r>
        <w:t xml:space="preserve"> </w:t>
      </w:r>
      <w:r>
        <w:rPr>
          <w:b/>
          <w:bCs/>
        </w:rPr>
        <w:t xml:space="preserve">oBacker không can thiệp vào quy trình hoặc hệ thống nội bộ của Quý Khách.</w:t>
      </w:r>
    </w:p>
    <w:p>
      <w:pPr>
        <w:pStyle w:val="BlockText"/>
      </w:pPr>
      <w:r>
        <w:t xml:space="preserve">oBacker tính lương đúng theo</w:t>
      </w:r>
      <w:r>
        <w:t xml:space="preserve"> </w:t>
      </w:r>
      <w:r>
        <w:rPr>
          <w:b/>
          <w:bCs/>
        </w:rPr>
        <w:t xml:space="preserve">Khung đã thống nhất</w:t>
      </w:r>
      <w:r>
        <w:t xml:space="preserve"> </w:t>
      </w:r>
      <w:r>
        <w:t xml:space="preserve">và dữ liệu do Quý Khách cung cấp/xác nhận, không tự suy đoán hay thay đổi chính sách lương. Việc</w:t>
      </w:r>
      <w:r>
        <w:t xml:space="preserve"> </w:t>
      </w:r>
      <w:r>
        <w:rPr>
          <w:b/>
          <w:bCs/>
        </w:rPr>
        <w:t xml:space="preserve">chi trả lương</w:t>
      </w:r>
      <w:r>
        <w:t xml:space="preserve"> </w:t>
      </w:r>
      <w:r>
        <w:t xml:space="preserve">cho người lao động do Quý Khách thực hiện.</w:t>
      </w:r>
    </w:p>
    <w:p>
      <w:pPr>
        <w:pStyle w:val="FirstParagraph"/>
      </w:pPr>
      <w:r>
        <w:rPr>
          <w:b/>
          <w:bCs/>
        </w:rPr>
        <w:t xml:space="preserve">2.2. Thuế TNCN từ tiền lương:</w:t>
      </w:r>
    </w:p>
    <w:p>
      <w:pPr>
        <w:pStyle w:val="Compact"/>
        <w:numPr>
          <w:ilvl w:val="0"/>
          <w:numId w:val="1002"/>
        </w:numPr>
      </w:pPr>
      <w:r>
        <w:t xml:space="preserve">Đăng ký mã số thuế cá nhân cho người lao động; đăng ký người phụ thuộc (giảm trừ gia cảnh)</w:t>
      </w:r>
    </w:p>
    <w:p>
      <w:pPr>
        <w:pStyle w:val="Compact"/>
        <w:numPr>
          <w:ilvl w:val="0"/>
          <w:numId w:val="1002"/>
        </w:numPr>
      </w:pPr>
      <w:r>
        <w:t xml:space="preserve">Khấu trừ, kê khai TNCN theo kỳ và</w:t>
      </w:r>
      <w:r>
        <w:t xml:space="preserve"> </w:t>
      </w:r>
      <w:r>
        <w:rPr>
          <w:b/>
          <w:bCs/>
        </w:rPr>
        <w:t xml:space="preserve">quyết toán TNCN năm</w:t>
      </w:r>
      <w:r>
        <w:t xml:space="preserve"> </w:t>
      </w:r>
      <w:r>
        <w:t xml:space="preserve">đối với</w:t>
      </w:r>
      <w:r>
        <w:t xml:space="preserve"> </w:t>
      </w:r>
      <w:r>
        <w:rPr>
          <w:b/>
          <w:bCs/>
        </w:rPr>
        <w:t xml:space="preserve">thu nhập từ tiền lương, tiền công của người lao động có hợp đồng lao động</w:t>
      </w:r>
      <w:r>
        <w:t xml:space="preserve"> </w:t>
      </w:r>
      <w:r>
        <w:t xml:space="preserve">(khấu trừ theo biểu lũy tiến từng phần)</w:t>
      </w:r>
    </w:p>
    <w:p>
      <w:pPr>
        <w:pStyle w:val="Compact"/>
        <w:numPr>
          <w:ilvl w:val="0"/>
          <w:numId w:val="1002"/>
        </w:numPr>
      </w:pPr>
      <w:r>
        <w:t xml:space="preserve">Cấp chứng từ khấu trừ thuế TNCN cho người lao động vào cuối năm.</w:t>
      </w:r>
    </w:p>
    <w:p>
      <w:pPr>
        <w:pStyle w:val="BlockText"/>
      </w:pPr>
      <w:r>
        <w:rPr>
          <w:b/>
          <w:bCs/>
        </w:rPr>
        <w:t xml:space="preserve">Phân định:</w:t>
      </w:r>
      <w:r>
        <w:t xml:space="preserve"> </w:t>
      </w:r>
      <w:r>
        <w:t xml:space="preserve">Dịch Vụ Nhân Sự chỉ xử lý TNCN</w:t>
      </w:r>
      <w:r>
        <w:t xml:space="preserve"> </w:t>
      </w:r>
      <w:r>
        <w:rPr>
          <w:b/>
          <w:bCs/>
        </w:rPr>
        <w:t xml:space="preserve">từ tiền lương</w:t>
      </w:r>
      <w:r>
        <w:t xml:space="preserve"> </w:t>
      </w:r>
      <w:r>
        <w:t xml:space="preserve">của người lao động có hợp đồng lao động. TNCN</w:t>
      </w:r>
      <w:r>
        <w:t xml:space="preserve"> </w:t>
      </w:r>
      <w:r>
        <w:rPr>
          <w:b/>
          <w:bCs/>
        </w:rPr>
        <w:t xml:space="preserve">vãng lai</w:t>
      </w:r>
      <w:r>
        <w:t xml:space="preserve"> </w:t>
      </w:r>
      <w:r>
        <w:t xml:space="preserve">chi cho cá nhân KHÔNG qua bảng lương (cộng tác viên/freelancer theo hợp đồng dịch vụ, thuê tài sản cá nhân) thuộc</w:t>
      </w:r>
      <w:r>
        <w:t xml:space="preserve"> </w:t>
      </w:r>
      <w:r>
        <w:rPr>
          <w:b/>
          <w:bCs/>
        </w:rPr>
        <w:t xml:space="preserve">Dịch Vụ Kế toán &amp; Thuế (PL-KT)</w:t>
      </w:r>
      <w:r>
        <w:t xml:space="preserve"> </w:t>
      </w:r>
      <w:r>
        <w:t xml:space="preserve">vì gắn với dòng chi phí do Kế toán ghi nhận. Nếu CTV làm thường xuyên có tính chất lao động và được chuyển sang hợp đồng lao động, các nghĩa vụ liên quan chuyển về PL-NS.</w:t>
      </w:r>
    </w:p>
    <w:p>
      <w:pPr>
        <w:pStyle w:val="FirstParagraph"/>
      </w:pPr>
      <w:r>
        <w:rPr>
          <w:b/>
          <w:bCs/>
        </w:rPr>
        <w:t xml:space="preserve">2.3. Bảo hiểm bắt buộc (BHXH-BHYT-BHTN):</w:t>
      </w:r>
    </w:p>
    <w:p>
      <w:pPr>
        <w:pStyle w:val="Compact"/>
        <w:numPr>
          <w:ilvl w:val="0"/>
          <w:numId w:val="1003"/>
        </w:numPr>
      </w:pPr>
      <w:r>
        <w:t xml:space="preserve">Đăng ký mã đơn vị BHXH (khi thiết lập); báo tăng, báo giảm, chốt sổ và điều chỉnh thông tin (khi có ủy quyền hợp lệ)</w:t>
      </w:r>
    </w:p>
    <w:p>
      <w:pPr>
        <w:pStyle w:val="Compact"/>
        <w:numPr>
          <w:ilvl w:val="0"/>
          <w:numId w:val="1003"/>
        </w:numPr>
      </w:pPr>
      <w:r>
        <w:t xml:space="preserve">Đối soát số tiền phải đóng hàng kỳ và thông báo cho Quý Khách (xem Điều 5)</w:t>
      </w:r>
    </w:p>
    <w:p>
      <w:pPr>
        <w:pStyle w:val="Compact"/>
        <w:numPr>
          <w:ilvl w:val="0"/>
          <w:numId w:val="1003"/>
        </w:numPr>
      </w:pPr>
      <w:r>
        <w:t xml:space="preserve">Xử lý hồ sơ quyền lợi ốm đau, thai sản trong phạm vi thủ tục BHXH.</w:t>
      </w:r>
    </w:p>
    <w:p>
      <w:pPr>
        <w:pStyle w:val="FirstParagraph"/>
      </w:pPr>
      <w:r>
        <w:t xml:space="preserve">Tỷ lệ đóng tham chiếu (trên lương đã đăng ký):</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Loại</w:t>
            </w:r>
          </w:p>
        </w:tc>
        <w:tc>
          <w:tcPr/>
          <w:p>
            <w:pPr>
              <w:pStyle w:val="Compact"/>
            </w:pPr>
            <w:r>
              <w:t xml:space="preserve">Doanh nghiệp đóng</w:t>
            </w:r>
          </w:p>
        </w:tc>
        <w:tc>
          <w:tcPr/>
          <w:p>
            <w:pPr>
              <w:pStyle w:val="Compact"/>
            </w:pPr>
            <w:r>
              <w:t xml:space="preserve">Người lao động đóng</w:t>
            </w:r>
          </w:p>
        </w:tc>
      </w:tr>
      <w:tr>
        <w:tc>
          <w:tcPr/>
          <w:p>
            <w:pPr>
              <w:pStyle w:val="Compact"/>
            </w:pPr>
            <w:r>
              <w:t xml:space="preserve">BHXH</w:t>
            </w:r>
          </w:p>
        </w:tc>
        <w:tc>
          <w:tcPr/>
          <w:p>
            <w:pPr>
              <w:pStyle w:val="Compact"/>
            </w:pPr>
            <w:r>
              <w:t xml:space="preserve">17,5%</w:t>
            </w:r>
          </w:p>
        </w:tc>
        <w:tc>
          <w:tcPr/>
          <w:p>
            <w:pPr>
              <w:pStyle w:val="Compact"/>
            </w:pPr>
            <w:r>
              <w:t xml:space="preserve">8%</w:t>
            </w:r>
          </w:p>
        </w:tc>
      </w:tr>
      <w:tr>
        <w:tc>
          <w:tcPr/>
          <w:p>
            <w:pPr>
              <w:pStyle w:val="Compact"/>
            </w:pPr>
            <w:r>
              <w:t xml:space="preserve">BHYT</w:t>
            </w:r>
          </w:p>
        </w:tc>
        <w:tc>
          <w:tcPr/>
          <w:p>
            <w:pPr>
              <w:pStyle w:val="Compact"/>
            </w:pPr>
            <w:r>
              <w:t xml:space="preserve">3%</w:t>
            </w:r>
          </w:p>
        </w:tc>
        <w:tc>
          <w:tcPr/>
          <w:p>
            <w:pPr>
              <w:pStyle w:val="Compact"/>
            </w:pPr>
            <w:r>
              <w:t xml:space="preserve">1,5%</w:t>
            </w:r>
          </w:p>
        </w:tc>
      </w:tr>
      <w:tr>
        <w:tc>
          <w:tcPr/>
          <w:p>
            <w:pPr>
              <w:pStyle w:val="Compact"/>
            </w:pPr>
            <w:r>
              <w:t xml:space="preserve">BHTN</w:t>
            </w:r>
          </w:p>
        </w:tc>
        <w:tc>
          <w:tcPr/>
          <w:p>
            <w:pPr>
              <w:pStyle w:val="Compact"/>
            </w:pPr>
            <w:r>
              <w:t xml:space="preserve">1%</w:t>
            </w:r>
          </w:p>
        </w:tc>
        <w:tc>
          <w:tcPr/>
          <w:p>
            <w:pPr>
              <w:pStyle w:val="Compact"/>
            </w:pPr>
            <w:r>
              <w:t xml:space="preserve">1%</w:t>
            </w:r>
          </w:p>
        </w:tc>
      </w:tr>
      <w:tr>
        <w:tc>
          <w:tcPr/>
          <w:p>
            <w:pPr>
              <w:pStyle w:val="Compact"/>
            </w:pPr>
            <w:r>
              <w:rPr>
                <w:b/>
                <w:bCs/>
              </w:rPr>
              <w:t xml:space="preserve">Tổng</w:t>
            </w:r>
          </w:p>
        </w:tc>
        <w:tc>
          <w:tcPr/>
          <w:p>
            <w:pPr>
              <w:pStyle w:val="Compact"/>
            </w:pPr>
            <w:r>
              <w:rPr>
                <w:b/>
                <w:bCs/>
              </w:rPr>
              <w:t xml:space="preserve">21,5%</w:t>
            </w:r>
          </w:p>
        </w:tc>
        <w:tc>
          <w:tcPr/>
          <w:p>
            <w:pPr>
              <w:pStyle w:val="Compact"/>
            </w:pPr>
            <w:r>
              <w:rPr>
                <w:b/>
                <w:bCs/>
              </w:rPr>
              <w:t xml:space="preserve">10,5%</w:t>
            </w:r>
          </w:p>
        </w:tc>
      </w:tr>
    </w:tbl>
    <w:p>
      <w:pPr>
        <w:pStyle w:val="BodyText"/>
      </w:pPr>
      <w:r>
        <w:rPr>
          <w:b/>
          <w:bCs/>
        </w:rPr>
        <w:t xml:space="preserve">2.4. Hợp đồng và báo cáo lao động:</w:t>
      </w:r>
    </w:p>
    <w:p>
      <w:pPr>
        <w:pStyle w:val="Compact"/>
        <w:numPr>
          <w:ilvl w:val="0"/>
          <w:numId w:val="1004"/>
        </w:numPr>
      </w:pPr>
      <w:r>
        <w:t xml:space="preserve">Soạn hợp đồng lao động, phụ lục, thỏa thuận bảo mật (NDA) theo</w:t>
      </w:r>
      <w:r>
        <w:t xml:space="preserve"> </w:t>
      </w:r>
      <w:r>
        <w:rPr>
          <w:b/>
          <w:bCs/>
        </w:rPr>
        <w:t xml:space="preserve">biểu mẫu chuẩn</w:t>
      </w:r>
      <w:r>
        <w:t xml:space="preserve"> </w:t>
      </w:r>
      <w:r>
        <w:t xml:space="preserve">cho nhân sự nội bộ của Quý Khách</w:t>
      </w:r>
    </w:p>
    <w:p>
      <w:pPr>
        <w:pStyle w:val="Compact"/>
        <w:numPr>
          <w:ilvl w:val="0"/>
          <w:numId w:val="1004"/>
        </w:numPr>
      </w:pPr>
      <w:r>
        <w:t xml:space="preserve">Báo cáo sử dụng lao động, báo cáo tình hình thay đổi lao động và các báo cáo bắt buộc tương tự</w:t>
      </w:r>
    </w:p>
    <w:p>
      <w:pPr>
        <w:pStyle w:val="Compact"/>
        <w:numPr>
          <w:ilvl w:val="0"/>
          <w:numId w:val="1004"/>
        </w:numPr>
      </w:pPr>
      <w:r>
        <w:t xml:space="preserve">Hỗ trợ đăng ký nội quy lao động với cơ quan có thẩm quyền.</w:t>
      </w:r>
    </w:p>
    <w:bookmarkEnd w:id="11"/>
    <w:bookmarkStart w:id="12" w:name="điều-3.-ngoài-phạm-vi-dịch-vụ"/>
    <w:p>
      <w:pPr>
        <w:pStyle w:val="Heading2"/>
      </w:pPr>
      <w:r>
        <w:t xml:space="preserve">Điều 3. Ngoài phạm vi Dịch Vụ</w:t>
      </w:r>
    </w:p>
    <w:p>
      <w:pPr>
        <w:pStyle w:val="FirstParagraph"/>
      </w:pPr>
      <w:r>
        <w:t xml:space="preserve">oBacker</w:t>
      </w:r>
      <w:r>
        <w:t xml:space="preserve"> </w:t>
      </w:r>
      <w:r>
        <w:rPr>
          <w:b/>
          <w:bCs/>
        </w:rPr>
        <w:t xml:space="preserve">không</w:t>
      </w:r>
      <w:r>
        <w:t xml:space="preserve"> </w:t>
      </w:r>
      <w:r>
        <w:t xml:space="preserve">cung cấp trong các gói tiêu chuẩn:</w:t>
      </w:r>
    </w:p>
    <w:p>
      <w:pPr>
        <w:pStyle w:val="Compact"/>
        <w:numPr>
          <w:ilvl w:val="0"/>
          <w:numId w:val="1005"/>
        </w:numPr>
      </w:pPr>
      <w:r>
        <w:t xml:space="preserve">Sa thải, xử lý kỷ luật lao động, hòa giải/thương lượng/tố tụng tranh chấp lao động</w:t>
      </w:r>
    </w:p>
    <w:p>
      <w:pPr>
        <w:pStyle w:val="Compact"/>
        <w:numPr>
          <w:ilvl w:val="0"/>
          <w:numId w:val="1005"/>
        </w:numPr>
      </w:pPr>
      <w:r>
        <w:t xml:space="preserve">Thủ tục cho người lao động nước ngoài: Giấy phép lao động, Thẻ tạm trú, thị thực, xử lý vi phạm</w:t>
      </w:r>
    </w:p>
    <w:p>
      <w:pPr>
        <w:pStyle w:val="Compact"/>
        <w:numPr>
          <w:ilvl w:val="0"/>
          <w:numId w:val="1005"/>
        </w:numPr>
      </w:pPr>
      <w:r>
        <w:t xml:space="preserve">Tuyển dụng, tìm kiếm và săn đón nhân sự</w:t>
      </w:r>
    </w:p>
    <w:p>
      <w:pPr>
        <w:pStyle w:val="Compact"/>
        <w:numPr>
          <w:ilvl w:val="0"/>
          <w:numId w:val="1005"/>
        </w:numPr>
      </w:pPr>
      <w:r>
        <w:t xml:space="preserve">Soạn hợp đồng thương mại với bên thứ ba (mua bán, cung cấp dịch vụ, đại lý); thuộc Dịch Vụ Pháp Lý (PL-PL)</w:t>
      </w:r>
    </w:p>
    <w:p>
      <w:pPr>
        <w:pStyle w:val="Compact"/>
        <w:numPr>
          <w:ilvl w:val="0"/>
          <w:numId w:val="1005"/>
        </w:numPr>
      </w:pPr>
      <w:r>
        <w:t xml:space="preserve">Xây dựng thang bảng lương, tư vấn cấu trúc lương/phương án đóng BHXH; là tư vấn, áp dụng theo hạn mức gói hoặc dịch vụ bổ sung ngoài gói.</w:t>
      </w:r>
    </w:p>
    <w:p>
      <w:pPr>
        <w:pStyle w:val="FirstParagraph"/>
      </w:pPr>
      <w:r>
        <w:t xml:space="preserve">Khi phát sinh nhu cầu thuộc nhóm trên, oBacker thông báo trước và đề xuất giải pháp: giới thiệu đối tác hoặc chào dịch vụ bổ sung ngoài gói trong năng lực của oBacker.</w:t>
      </w:r>
    </w:p>
    <w:bookmarkEnd w:id="12"/>
    <w:bookmarkStart w:id="13" w:name="điều-4.-quy-trình-tuyển-nhân-viên-mới"/>
    <w:p>
      <w:pPr>
        <w:pStyle w:val="Heading2"/>
      </w:pPr>
      <w:r>
        <w:t xml:space="preserve">Điều 4. Quy trình tuyển nhân viên mới</w:t>
      </w:r>
    </w:p>
    <w:p>
      <w:pPr>
        <w:pStyle w:val="Compact"/>
        <w:numPr>
          <w:ilvl w:val="0"/>
          <w:numId w:val="1006"/>
        </w:numPr>
      </w:pPr>
      <w:r>
        <w:t xml:space="preserve">Quý Khách gửi thư mời nhận việc/thông tin qua ops@obacker.com: họ tên + CCCD, vị trí/chức danh, ngày bắt đầu, lương thử việc + chính thức, thời gian thử việc, loại hợp đồng, phụ cấp/thưởng/chế độ đặc biệt</w:t>
      </w:r>
    </w:p>
    <w:p>
      <w:pPr>
        <w:pStyle w:val="Compact"/>
        <w:numPr>
          <w:ilvl w:val="0"/>
          <w:numId w:val="1006"/>
        </w:numPr>
      </w:pPr>
      <w:r>
        <w:t xml:space="preserve">Quý Khách gửi Phiếu thông tin nhân viên cho nhân viên mới điền</w:t>
      </w:r>
    </w:p>
    <w:p>
      <w:pPr>
        <w:pStyle w:val="Compact"/>
        <w:numPr>
          <w:ilvl w:val="0"/>
          <w:numId w:val="1006"/>
        </w:numPr>
      </w:pPr>
      <w:r>
        <w:t xml:space="preserve">oBacker soạn Hợp đồng lao động + thỏa thuận bảo mật (NDA) theo biểu mẫu</w:t>
      </w:r>
    </w:p>
    <w:p>
      <w:pPr>
        <w:pStyle w:val="Compact"/>
        <w:numPr>
          <w:ilvl w:val="0"/>
          <w:numId w:val="1006"/>
        </w:numPr>
      </w:pPr>
      <w:r>
        <w:t xml:space="preserve">Quý Khách ký kết với người lao động</w:t>
      </w:r>
    </w:p>
    <w:p>
      <w:pPr>
        <w:pStyle w:val="Compact"/>
        <w:numPr>
          <w:ilvl w:val="0"/>
          <w:numId w:val="1006"/>
        </w:numPr>
      </w:pPr>
      <w:r>
        <w:t xml:space="preserve">oBacker</w:t>
      </w:r>
      <w:r>
        <w:t xml:space="preserve"> </w:t>
      </w:r>
      <w:r>
        <w:rPr>
          <w:b/>
          <w:bCs/>
        </w:rPr>
        <w:t xml:space="preserve">đăng ký BHXH-BHYT-BHTN trong vòng 30 ngày</w:t>
      </w:r>
      <w:r>
        <w:t xml:space="preserve"> </w:t>
      </w:r>
      <w:r>
        <w:t xml:space="preserve">kể từ ngày ký hợp đồng lao động, theo quy định pháp luật.</w:t>
      </w:r>
    </w:p>
    <w:bookmarkEnd w:id="13"/>
    <w:bookmarkStart w:id="14" w:name="điều-5.-thời-hạn-và-tiến-độ"/>
    <w:p>
      <w:pPr>
        <w:pStyle w:val="Heading2"/>
      </w:pPr>
      <w:r>
        <w:t xml:space="preserve">Điều 5. Thời hạn và tiến độ</w:t>
      </w:r>
    </w:p>
    <w:p>
      <w:pPr>
        <w:pStyle w:val="FirstParagraph"/>
      </w:pPr>
      <w:r>
        <w:rPr>
          <w:b/>
          <w:bCs/>
        </w:rPr>
        <w:t xml:space="preserve">5.1. Chu kỳ tính lương</w:t>
      </w:r>
      <w:r>
        <w:t xml:space="preserve"> </w:t>
      </w:r>
      <w:r>
        <w:t xml:space="preserve">(D = ngày chốt công cố định do Quý Khách chọn):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Mốc</w:t>
            </w:r>
          </w:p>
        </w:tc>
        <w:tc>
          <w:tcPr/>
          <w:p>
            <w:pPr>
              <w:pStyle w:val="Compact"/>
            </w:pPr>
            <w:r>
              <w:t xml:space="preserve">Công việc</w:t>
            </w:r>
          </w:p>
        </w:tc>
        <w:tc>
          <w:tcPr/>
          <w:p>
            <w:pPr>
              <w:pStyle w:val="Compact"/>
            </w:pPr>
            <w:r>
              <w:t xml:space="preserve">Bên thực hiện</w:t>
            </w:r>
          </w:p>
        </w:tc>
      </w:tr>
      <w:tr>
        <w:tc>
          <w:tcPr/>
          <w:p>
            <w:pPr>
              <w:pStyle w:val="Compact"/>
            </w:pPr>
            <w:r>
              <w:t xml:space="preserve">Ngày chốt công (D)</w:t>
            </w:r>
          </w:p>
        </w:tc>
        <w:tc>
          <w:tcPr/>
          <w:p>
            <w:pPr>
              <w:pStyle w:val="Compact"/>
            </w:pPr>
            <w:r>
              <w:t xml:space="preserve">Gửi thông tin biến động: công, phép, làm thêm giờ, thưởng</w:t>
            </w:r>
          </w:p>
        </w:tc>
        <w:tc>
          <w:tcPr/>
          <w:p>
            <w:pPr>
              <w:pStyle w:val="Compact"/>
            </w:pPr>
            <w:r>
              <w:t xml:space="preserve">Quý Khách</w:t>
            </w:r>
          </w:p>
        </w:tc>
      </w:tr>
      <w:tr>
        <w:tc>
          <w:tcPr/>
          <w:p>
            <w:pPr>
              <w:pStyle w:val="Compact"/>
            </w:pPr>
            <w:r>
              <w:t xml:space="preserve">D+3</w:t>
            </w:r>
          </w:p>
        </w:tc>
        <w:tc>
          <w:tcPr/>
          <w:p>
            <w:pPr>
              <w:pStyle w:val="Compact"/>
            </w:pPr>
            <w:r>
              <w:t xml:space="preserve">Lên phiếu lương, gửi rà soát</w:t>
            </w:r>
          </w:p>
        </w:tc>
        <w:tc>
          <w:tcPr/>
          <w:p>
            <w:pPr>
              <w:pStyle w:val="Compact"/>
            </w:pPr>
            <w:r>
              <w:t xml:space="preserve">oBacker</w:t>
            </w:r>
          </w:p>
        </w:tc>
      </w:tr>
      <w:tr>
        <w:tc>
          <w:tcPr/>
          <w:p>
            <w:pPr>
              <w:pStyle w:val="Compact"/>
            </w:pPr>
            <w:r>
              <w:t xml:space="preserve">D+4</w:t>
            </w:r>
          </w:p>
        </w:tc>
        <w:tc>
          <w:tcPr/>
          <w:p>
            <w:pPr>
              <w:pStyle w:val="Compact"/>
            </w:pPr>
            <w:r>
              <w:t xml:space="preserve">Rà soát và xác nhận phiếu lương</w:t>
            </w:r>
          </w:p>
        </w:tc>
        <w:tc>
          <w:tcPr/>
          <w:p>
            <w:pPr>
              <w:pStyle w:val="Compact"/>
            </w:pPr>
            <w:r>
              <w:t xml:space="preserve">Quý Khách</w:t>
            </w:r>
          </w:p>
        </w:tc>
      </w:tr>
      <w:tr>
        <w:tc>
          <w:tcPr/>
          <w:p>
            <w:pPr>
              <w:pStyle w:val="Compact"/>
            </w:pPr>
            <w:r>
              <w:t xml:space="preserve">D+5</w:t>
            </w:r>
          </w:p>
        </w:tc>
        <w:tc>
          <w:tcPr/>
          <w:p>
            <w:pPr>
              <w:pStyle w:val="Compact"/>
            </w:pPr>
            <w:r>
              <w:t xml:space="preserve">Trả lương cho người lao động</w:t>
            </w:r>
          </w:p>
        </w:tc>
        <w:tc>
          <w:tcPr/>
          <w:p>
            <w:pPr>
              <w:pStyle w:val="Compact"/>
            </w:pPr>
            <w:r>
              <w:t xml:space="preserve">Quý Khách</w:t>
            </w:r>
          </w:p>
        </w:tc>
      </w:tr>
    </w:tbl>
    <w:p>
      <w:pPr>
        <w:pStyle w:val="BodyText"/>
      </w:pPr>
      <w:r>
        <w:rPr>
          <w:b/>
          <w:bCs/>
        </w:rPr>
        <w:t xml:space="preserve">5.2. Biến động nhân sự:</w:t>
      </w:r>
      <w:r>
        <w:t xml:space="preserve"> </w:t>
      </w:r>
      <w:r>
        <w:t xml:space="preserve">Quý Khách thông báo trước tối thiểu</w:t>
      </w:r>
      <w:r>
        <w:t xml:space="preserve"> </w:t>
      </w:r>
      <w:r>
        <w:rPr>
          <w:b/>
          <w:bCs/>
        </w:rPr>
        <w:t xml:space="preserve">05 Ngày Làm Việc</w:t>
      </w:r>
      <w:r>
        <w:t xml:space="preserve"> </w:t>
      </w:r>
      <w:r>
        <w:t xml:space="preserve">đối với: tuyển mới, nghỉ việc, tăng/giảm lương, chuyển vị trí/thay đổi hợp đồng, thai sản, nghỉ ốm dài ngày. Nếu trong tháng không có biến động, Quý Khách vẫn xác nhận</w:t>
      </w:r>
      <w:r>
        <w:t xml:space="preserve"> </w:t>
      </w:r>
      <w:r>
        <w:t xml:space="preserve">“không có biến động”</w:t>
      </w:r>
      <w:r>
        <w:t xml:space="preserve"> </w:t>
      </w:r>
      <w:r>
        <w:t xml:space="preserve">để oBacker chốt lương đúng tiến độ.</w:t>
      </w:r>
    </w:p>
    <w:p>
      <w:pPr>
        <w:pStyle w:val="BodyText"/>
      </w:pPr>
      <w:r>
        <w:rPr>
          <w:b/>
          <w:bCs/>
        </w:rPr>
        <w:t xml:space="preserve">5.3. Đối soát BHXH (ngày 15 và ngày 25 hàng tháng).</w:t>
      </w:r>
      <w:r>
        <w:t xml:space="preserve"> </w:t>
      </w:r>
      <w:r>
        <w:t xml:space="preserve">Email ngày 15 là thông báo số tiền phải đóng của kỳ tháng liền trước, kèm C12. Email ngày 25 là</w:t>
      </w:r>
      <w:r>
        <w:t xml:space="preserve"> </w:t>
      </w:r>
      <w:r>
        <w:rPr>
          <w:b/>
          <w:bCs/>
        </w:rPr>
        <w:t xml:space="preserve">Thư đối soát</w:t>
      </w:r>
      <w:r>
        <w:t xml:space="preserve"> </w:t>
      </w:r>
      <w:r>
        <w:t xml:space="preserve">(không phải nhắc nợ lần hai):</w:t>
      </w:r>
    </w:p>
    <w:p>
      <w:pPr>
        <w:pStyle w:val="Compact"/>
        <w:numPr>
          <w:ilvl w:val="0"/>
          <w:numId w:val="1007"/>
        </w:numPr>
      </w:pPr>
      <w:r>
        <w:t xml:space="preserve">Nếu Quý Khách</w:t>
      </w:r>
      <w:r>
        <w:t xml:space="preserve"> </w:t>
      </w:r>
      <w:r>
        <w:rPr>
          <w:b/>
          <w:bCs/>
        </w:rPr>
        <w:t xml:space="preserve">đã nộp</w:t>
      </w:r>
      <w:r>
        <w:t xml:space="preserve">: phản hồi kèm Ủy nhiệm chi (UNC) để oBacker đối soát với cơ quan BHXH</w:t>
      </w:r>
    </w:p>
    <w:p>
      <w:pPr>
        <w:pStyle w:val="Compact"/>
        <w:numPr>
          <w:ilvl w:val="0"/>
          <w:numId w:val="1007"/>
        </w:numPr>
      </w:pPr>
      <w:r>
        <w:t xml:space="preserve">Nếu</w:t>
      </w:r>
      <w:r>
        <w:t xml:space="preserve"> </w:t>
      </w:r>
      <w:r>
        <w:rPr>
          <w:b/>
          <w:bCs/>
        </w:rPr>
        <w:t xml:space="preserve">chưa nộp</w:t>
      </w:r>
      <w:r>
        <w:t xml:space="preserve">: nộp đúng số tiền và đúng mã đơn vị oBacker nêu trong email, trước hạn cơ quan BHXH (thường là ngày cuối tháng).</w:t>
      </w:r>
    </w:p>
    <w:p>
      <w:pPr>
        <w:pStyle w:val="FirstParagraph"/>
      </w:pPr>
      <w:r>
        <w:t xml:space="preserve">Đây là 2 lần đối soát cho</w:t>
      </w:r>
      <w:r>
        <w:t xml:space="preserve"> </w:t>
      </w:r>
      <w:r>
        <w:rPr>
          <w:b/>
          <w:bCs/>
        </w:rPr>
        <w:t xml:space="preserve">cùng một số tiền của cùng một kỳ</w:t>
      </w:r>
      <w:r>
        <w:t xml:space="preserve">. Quý Khách đóng theo số tiền trong email, không đóng theo số trên C12 nếu hai số khác nhau (do độ trễ cập nhật của hệ thống BHXH).</w:t>
      </w:r>
    </w:p>
    <w:p>
      <w:pPr>
        <w:pStyle w:val="BodyText"/>
      </w:pPr>
      <w:r>
        <w:rPr>
          <w:b/>
          <w:bCs/>
        </w:rPr>
        <w:t xml:space="preserve">5.4. Cam kết thời gian phản hồi:</w:t>
      </w:r>
      <w:r>
        <w:t xml:space="preserve"> </w:t>
      </w:r>
      <w:r>
        <w:t xml:space="preserve">trong 24 giờ làm việc đối với yêu cầu gửi qua email; nghĩa vụ có thời hạn với cơ quan nhà nước được ưu tiên xử lý trong ngày.</w:t>
      </w:r>
    </w:p>
    <w:bookmarkEnd w:id="14"/>
    <w:bookmarkStart w:id="15" w:name="điều-6.-sản-phẩm-bàn-giao"/>
    <w:p>
      <w:pPr>
        <w:pStyle w:val="Heading2"/>
      </w:pPr>
      <w:r>
        <w:t xml:space="preserve">Điều 6. Sản phẩm bàn giao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Sản phẩm bàn giao</w:t>
            </w:r>
          </w:p>
        </w:tc>
        <w:tc>
          <w:tcPr/>
          <w:p>
            <w:pPr>
              <w:pStyle w:val="Compact"/>
            </w:pPr>
            <w:r>
              <w:t xml:space="preserve">Tần suất</w:t>
            </w:r>
          </w:p>
        </w:tc>
      </w:tr>
      <w:tr>
        <w:tc>
          <w:tcPr/>
          <w:p>
            <w:pPr>
              <w:pStyle w:val="Compact"/>
            </w:pPr>
            <w:r>
              <w:t xml:space="preserve">Bảng tính lương và phiếu lương</w:t>
            </w:r>
          </w:p>
        </w:tc>
        <w:tc>
          <w:tcPr/>
          <w:p>
            <w:pPr>
              <w:pStyle w:val="Compact"/>
            </w:pPr>
            <w:r>
              <w:t xml:space="preserve">Hằng tháng</w:t>
            </w:r>
          </w:p>
        </w:tc>
      </w:tr>
      <w:tr>
        <w:tc>
          <w:tcPr/>
          <w:p>
            <w:pPr>
              <w:pStyle w:val="Compact"/>
            </w:pPr>
            <w:r>
              <w:t xml:space="preserve">Tờ khai TNCN đã nộp;</w:t>
            </w:r>
            <w:r>
              <w:t xml:space="preserve">chứng từ khấu trừ thuế TNCN cho người lao động</w:t>
            </w:r>
          </w:p>
        </w:tc>
        <w:tc>
          <w:tcPr/>
          <w:p>
            <w:pPr>
              <w:pStyle w:val="Compact"/>
            </w:pPr>
            <w:r>
              <w:t xml:space="preserve">Theo kỳ / cuối năm</w:t>
            </w:r>
          </w:p>
        </w:tc>
      </w:tr>
      <w:tr>
        <w:tc>
          <w:tcPr/>
          <w:p>
            <w:pPr>
              <w:pStyle w:val="Compact"/>
            </w:pPr>
            <w:r>
              <w:t xml:space="preserve">Xác nhận báo tăng/giảm BHXH;</w:t>
            </w:r>
            <w:r>
              <w:t xml:space="preserve">đăng ký người phụ thuộc;</w:t>
            </w:r>
            <w:r>
              <w:t xml:space="preserve">hồ sơ quyền lợi ốm/thai sản</w:t>
            </w:r>
          </w:p>
        </w:tc>
        <w:tc>
          <w:tcPr/>
          <w:p>
            <w:pPr>
              <w:pStyle w:val="Compact"/>
            </w:pPr>
            <w:r>
              <w:t xml:space="preserve">Khi phát sinh</w:t>
            </w:r>
          </w:p>
        </w:tc>
      </w:tr>
      <w:tr>
        <w:tc>
          <w:tcPr/>
          <w:p>
            <w:pPr>
              <w:pStyle w:val="Compact"/>
            </w:pPr>
            <w:r>
              <w:t xml:space="preserve">Hợp đồng lao động, phụ lục, NDA theo biểu mẫu</w:t>
            </w:r>
          </w:p>
        </w:tc>
        <w:tc>
          <w:tcPr/>
          <w:p>
            <w:pPr>
              <w:pStyle w:val="Compact"/>
            </w:pPr>
            <w:r>
              <w:t xml:space="preserve">Khi tuyển mới / điều chỉnh</w:t>
            </w:r>
          </w:p>
        </w:tc>
      </w:tr>
      <w:tr>
        <w:tc>
          <w:tcPr/>
          <w:p>
            <w:pPr>
              <w:pStyle w:val="Compact"/>
            </w:pPr>
            <w:r>
              <w:t xml:space="preserve">Báo cáo lao động định kỳ;</w:t>
            </w:r>
            <w:r>
              <w:t xml:space="preserve">hồ sơ đăng ký nội quy lao động</w:t>
            </w:r>
          </w:p>
        </w:tc>
        <w:tc>
          <w:tcPr/>
          <w:p>
            <w:pPr>
              <w:pStyle w:val="Compact"/>
            </w:pPr>
            <w:r>
              <w:t xml:space="preserve">Theo quy định pháp luật</w:t>
            </w:r>
          </w:p>
        </w:tc>
      </w:tr>
    </w:tbl>
    <w:bookmarkEnd w:id="15"/>
    <w:bookmarkStart w:id="16" w:name="Xe1a4983135b45fe951d656368e8610091c6616b"/>
    <w:p>
      <w:pPr>
        <w:pStyle w:val="Heading2"/>
      </w:pPr>
      <w:r>
        <w:t xml:space="preserve">Điều 7. Tài liệu và thông tin Quý Khách cung cấp</w:t>
      </w:r>
    </w:p>
    <w:p>
      <w:pPr>
        <w:pStyle w:val="Compact"/>
        <w:numPr>
          <w:ilvl w:val="0"/>
          <w:numId w:val="1008"/>
        </w:numPr>
      </w:pPr>
      <w:r>
        <w:rPr>
          <w:b/>
          <w:bCs/>
        </w:rPr>
        <w:t xml:space="preserve">Khi thiết lập:</w:t>
      </w:r>
      <w:r>
        <w:t xml:space="preserve"> </w:t>
      </w:r>
      <w:r>
        <w:t xml:space="preserve">danh sách người lao động, hợp đồng lao động hiện hành, thang bảng lương, quyết định lương/thưởng/phụ cấp; thông tin đăng nhập hoặc quyền tài khoản phụ hệ thống BHXH và thuế điện tử; giấy ủy quyền làm việc với cơ quan BHXH</w:t>
      </w:r>
    </w:p>
    <w:p>
      <w:pPr>
        <w:pStyle w:val="Compact"/>
        <w:numPr>
          <w:ilvl w:val="0"/>
          <w:numId w:val="1008"/>
        </w:numPr>
      </w:pPr>
      <w:r>
        <w:rPr>
          <w:b/>
          <w:bCs/>
        </w:rPr>
        <w:t xml:space="preserve">Định kỳ:</w:t>
      </w:r>
      <w:r>
        <w:t xml:space="preserve"> </w:t>
      </w:r>
      <w:r>
        <w:t xml:space="preserve">thông tin công/phép/làm thêm giờ/thưởng theo kỳ lương; biến động nhân sự</w:t>
      </w:r>
    </w:p>
    <w:p>
      <w:pPr>
        <w:pStyle w:val="Compact"/>
        <w:numPr>
          <w:ilvl w:val="0"/>
          <w:numId w:val="1008"/>
        </w:numPr>
      </w:pPr>
      <w:r>
        <w:rPr>
          <w:b/>
          <w:bCs/>
        </w:rPr>
        <w:t xml:space="preserve">Theo sự kiện:</w:t>
      </w:r>
      <w:r>
        <w:t xml:space="preserve"> </w:t>
      </w:r>
      <w:r>
        <w:t xml:space="preserve">hồ sơ tuyển mới (Điều 4); hồ sơ nghỉ việc; hồ sơ thai sản/ốm đau.</w:t>
      </w:r>
    </w:p>
    <w:bookmarkEnd w:id="16"/>
    <w:bookmarkStart w:id="17" w:name="Xe18ec053c50ed4b9d298200cf74829fc8107377"/>
    <w:p>
      <w:pPr>
        <w:pStyle w:val="Heading2"/>
      </w:pPr>
      <w:r>
        <w:t xml:space="preserve">Điều 8. Phân định trách nhiệm và cơ chế bồi thường</w:t>
      </w:r>
    </w:p>
    <w:p>
      <w:pPr>
        <w:pStyle w:val="FirstParagraph"/>
      </w:pPr>
      <w:r>
        <w:t xml:space="preserve">Áp dụng cơ chế chịu trách nhiệm theo bản chất của lỗi tại</w:t>
      </w:r>
      <w:r>
        <w:t xml:space="preserve"> </w:t>
      </w:r>
      <w:r>
        <w:rPr>
          <w:b/>
          <w:bCs/>
        </w:rPr>
        <w:t xml:space="preserve">Điều 9 Bản Điều Khoản Chung</w:t>
      </w:r>
      <w:r>
        <w:t xml:space="preserve">:</w:t>
      </w:r>
    </w:p>
    <w:p>
      <w:pPr>
        <w:pStyle w:val="BodyText"/>
      </w:pPr>
      <w:r>
        <w:rPr>
          <w:b/>
          <w:bCs/>
        </w:rPr>
        <w:t xml:space="preserve">(a) Lỗi về hình thức và thời hạn; oBacker chịu 100%:</w:t>
      </w:r>
      <w:r>
        <w:t xml:space="preserve"> </w:t>
      </w:r>
      <w:r>
        <w:t xml:space="preserve">nộp tờ khai/hồ sơ BHXH trễ hạn (khi Quý Khách đã xác nhận đúng lịch), báo tăng/giảm sai biểu mẫu, nộp sai cơ quan → oBacker chịu toàn bộ tiền phạt hành chính và tiền chậm nộp phát sinh trực tiếp.</w:t>
      </w:r>
    </w:p>
    <w:p>
      <w:pPr>
        <w:pStyle w:val="BodyText"/>
      </w:pPr>
      <w:r>
        <w:rPr>
          <w:b/>
          <w:bCs/>
        </w:rPr>
        <w:t xml:space="preserve">(b) Lỗi về nội dung và số liệu; theo nguồn gốc lỗi:</w:t>
      </w:r>
      <w:r>
        <w:t xml:space="preserve"> </w:t>
      </w:r>
      <w:r>
        <w:t xml:space="preserve">- Nếu tính lương/khấu trừ/kê khai sai do</w:t>
      </w:r>
      <w:r>
        <w:t xml:space="preserve"> </w:t>
      </w:r>
      <w:r>
        <w:rPr>
          <w:b/>
          <w:bCs/>
        </w:rPr>
        <w:t xml:space="preserve">oBacker xử lý sai so với Khung đã thống nhất và dữ liệu đúng Quý Khách đã cung cấp/xác nhận</w:t>
      </w:r>
      <w:r>
        <w:t xml:space="preserve"> </w:t>
      </w:r>
      <w:r>
        <w:t xml:space="preserve">→ oBacker bồi thường khoản phạt tương ứng</w:t>
      </w:r>
      <w:r>
        <w:t xml:space="preserve"> </w:t>
      </w:r>
      <w:r>
        <w:t xml:space="preserve">- Nếu sai lệch, truy thu do</w:t>
      </w:r>
      <w:r>
        <w:t xml:space="preserve"> </w:t>
      </w:r>
      <w:r>
        <w:rPr>
          <w:b/>
          <w:bCs/>
        </w:rPr>
        <w:t xml:space="preserve">Quý Khách cung cấp thông tin sai/thiếu (kể cả số liệu tùy biến Quý Khách tự xử lý sẵn theo Mục 2.1), không xác nhận đúng hạn, hoặc quyết định nhân sự trái luật</w:t>
      </w:r>
      <w:r>
        <w:t xml:space="preserve"> </w:t>
      </w:r>
      <w:r>
        <w:t xml:space="preserve">→ Quý Khách tự chịu 100%. oBacker được miễn trừ.</w:t>
      </w:r>
    </w:p>
    <w:p>
      <w:pPr>
        <w:pStyle w:val="BodyText"/>
      </w:pPr>
      <w:r>
        <w:rPr>
          <w:b/>
          <w:bCs/>
        </w:rPr>
        <w:t xml:space="preserve">(c) Lỗi hỗn hợp:</w:t>
      </w:r>
      <w:r>
        <w:t xml:space="preserve"> </w:t>
      </w:r>
      <w:r>
        <w:t xml:space="preserve">hai Bên làm rõ và phân chia theo tỷ lệ lỗi.</w:t>
      </w:r>
    </w:p>
    <w:bookmarkEnd w:id="17"/>
    <w:bookmarkStart w:id="18" w:name="điều-9.-chấm-dứt-và-bàn-giao"/>
    <w:p>
      <w:pPr>
        <w:pStyle w:val="Heading2"/>
      </w:pPr>
      <w:r>
        <w:t xml:space="preserve">Điều 9. Chấm dứt và bàn giao</w:t>
      </w:r>
    </w:p>
    <w:p>
      <w:pPr>
        <w:pStyle w:val="FirstParagraph"/>
      </w:pPr>
      <w:r>
        <w:t xml:space="preserve">Mỗi Bên có thể chấm dứt Dịch Vụ bằng thông báo trước tối thiểu</w:t>
      </w:r>
      <w:r>
        <w:t xml:space="preserve"> </w:t>
      </w:r>
      <w:r>
        <w:rPr>
          <w:b/>
          <w:bCs/>
        </w:rPr>
        <w:t xml:space="preserve">30 ngày</w:t>
      </w:r>
      <w:r>
        <w:t xml:space="preserve"> </w:t>
      </w:r>
      <w:r>
        <w:t xml:space="preserve">(hoặc thời hạn khác tại Đơn Đặt Hàng); Quý Khách thanh toán phí cho phần công việc đã thực hiện. oBacker bàn giao hồ sơ lao động, dữ liệu lương, hồ sơ BHXH và thông tin đăng nhập hệ thống trong vòng</w:t>
      </w:r>
      <w:r>
        <w:t xml:space="preserve"> </w:t>
      </w:r>
      <w:r>
        <w:rPr>
          <w:b/>
          <w:bCs/>
        </w:rPr>
        <w:t xml:space="preserve">15 Ngày Làm Việc</w:t>
      </w:r>
      <w:r>
        <w:t xml:space="preserve">; Quý Khách có 30 ngày để tải toàn bộ dữ liệu trước khi oBacker lưu trữ hoặc xóa theo quy định.</w:t>
      </w:r>
    </w:p>
    <w:bookmarkEnd w:id="18"/>
    <w:bookmarkStart w:id="19" w:name="điều-10.-phí-dịch-vụ"/>
    <w:p>
      <w:pPr>
        <w:pStyle w:val="Heading2"/>
      </w:pPr>
      <w:r>
        <w:t xml:space="preserve">Điều 10. Phí Dịch Vụ</w:t>
      </w:r>
    </w:p>
    <w:p>
      <w:pPr>
        <w:pStyle w:val="FirstParagraph"/>
      </w:pPr>
      <w:r>
        <w:t xml:space="preserve">Phí Dịch Vụ được xác định theo Đơn Đặt Hàng (thường theo đầu người/tháng hoặc theo gói). Các tình huống phát sinh phí (xử lý gấp, quyết toán bù nhiều kỳ, hồ sơ ngoài gói…) được oBacker thông báo trước và chỉ thực hiện sau khi Quý Khách chấp thuận bằng văn bản.</w:t>
      </w:r>
    </w:p>
    <w:p>
      <w:r>
        <w:pict>
          <v:rect style="width:0;height:1.5pt" o:hralign="center" o:hrstd="t" o:hr="t"/>
        </w:pict>
      </w:r>
    </w:p>
    <w:p>
      <w:pPr>
        <w:pStyle w:val="FirstParagraph"/>
      </w:pPr>
      <w:r>
        <w:rPr>
          <w:b/>
          <w:bCs/>
        </w:rPr>
        <w:t xml:space="preserve">Công ty Cổ phần oBacker</w:t>
      </w:r>
      <w:r>
        <w:t xml:space="preserve"> </w:t>
      </w:r>
      <w:r>
        <w:t xml:space="preserve">· MST: 0402298185 · Tầng 2, 06 Trần Phú, Phường Hải Châu, Thành phố Đà Nẵng · contact@obacker.com · www.obacker.com</w:t>
      </w:r>
    </w:p>
    <w:p>
      <w:r>
        <w:pict>
          <v:rect style="width:0;height:1.5pt" o:hralign="center" o:hrstd="t" o:hr="t"/>
        </w:pict>
      </w:r>
    </w:p>
    <w:p>
      <w:pPr>
        <w:pStyle w:val="FirstParagraph"/>
      </w:pPr>
      <w:r>
        <w:rPr>
          <w:i/>
          <w:iCs/>
        </w:rPr>
        <w:t xml:space="preserve">Người sở hữu tài liệu: Ban biên soạn oBacker. Mọi thay đổi phải ghi vào Nhật ký sửa.</w:t>
      </w:r>
    </w:p>
    <w:bookmarkEnd w:id="19"/>
    <w:bookmarkStart w:id="20" w:name="nhật-ký-sửa"/>
    <w:p>
      <w:pPr>
        <w:pStyle w:val="Heading2"/>
      </w:pPr>
      <w:r>
        <w:t xml:space="preserve">NHẬT KÝ SỬA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Ngày</w:t>
            </w:r>
          </w:p>
        </w:tc>
        <w:tc>
          <w:tcPr/>
          <w:p>
            <w:pPr>
              <w:pStyle w:val="Compact"/>
            </w:pPr>
            <w:r>
              <w:t xml:space="preserve">Bản</w:t>
            </w:r>
          </w:p>
        </w:tc>
        <w:tc>
          <w:tcPr/>
          <w:p>
            <w:pPr>
              <w:pStyle w:val="Compact"/>
            </w:pPr>
            <w:r>
              <w:t xml:space="preserve">Nội dung</w:t>
            </w:r>
          </w:p>
        </w:tc>
      </w:tr>
      <w:tr>
        <w:tc>
          <w:tcPr/>
          <w:p>
            <w:pPr>
              <w:pStyle w:val="Compact"/>
            </w:pPr>
            <w:r>
              <w:t xml:space="preserve">21/09/2026</w:t>
            </w:r>
          </w:p>
        </w:tc>
        <w:tc>
          <w:tcPr/>
          <w:p>
            <w:pPr>
              <w:pStyle w:val="Compact"/>
            </w:pPr>
            <w:r>
              <w:t xml:space="preserve">R.1.0.0</w:t>
            </w:r>
          </w:p>
        </w:tc>
        <w:tc>
          <w:tcPr/>
          <w:p>
            <w:pPr>
              <w:pStyle w:val="Compact"/>
            </w:pPr>
            <w:r>
              <w:t xml:space="preserve">Ban hành.</w:t>
            </w:r>
          </w:p>
        </w:tc>
      </w:tr>
    </w:tbl>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V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ĐIỀU KHOẢN DỊCH VỤ NHÂN SỰ (PL-NS)</dc:title>
  <dc:creator/>
  <dc:language>vi-VN</dc:language>
  <cp:keywords/>
  <dcterms:created xsi:type="dcterms:W3CDTF">2026-09-21T06:40:01Z</dcterms:created>
  <dcterms:modified xsi:type="dcterms:W3CDTF">2026-09-21T06:40:01Z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ribution">
    <vt:lpwstr>khách hàng</vt:lpwstr>
  </property>
  <property fmtid="{D5CDD505-2E9C-101B-9397-08002B2CF9AE}" pid="3" name="folder">
    <vt:lpwstr>09_TnC</vt:lpwstr>
  </property>
  <property fmtid="{D5CDD505-2E9C-101B-9397-08002B2CF9AE}" pid="4" name="language">
    <vt:lpwstr>vi</vt:lpwstr>
  </property>
  <property fmtid="{D5CDD505-2E9C-101B-9397-08002B2CF9AE}" pid="5" name="previous_version">
    <vt:lpwstr/>
  </property>
  <property fmtid="{D5CDD505-2E9C-101B-9397-08002B2CF9AE}" pid="6" name="status">
    <vt:lpwstr>đang áp dụng</vt:lpwstr>
  </property>
  <property fmtid="{D5CDD505-2E9C-101B-9397-08002B2CF9AE}" pid="7" name="tags">
    <vt:lpwstr/>
  </property>
  <property fmtid="{D5CDD505-2E9C-101B-9397-08002B2CF9AE}" pid="8" name="type">
    <vt:lpwstr>tnc</vt:lpwstr>
  </property>
  <property fmtid="{D5CDD505-2E9C-101B-9397-08002B2CF9AE}" pid="9" name="version">
    <vt:lpwstr>R.1.0.0</vt:lpwstr>
  </property>
</Properties>
</file>