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ĐIỀU KHOẢN DỊCH VỤ PHÁP LÝ (PL-PL)</w:t>
      </w:r>
    </w:p>
    <w:bookmarkStart w:id="20" w:name="điều-khoản-dịch-vụ-pháp-lý-pl-pl"/>
    <w:p>
      <w:pPr>
        <w:pStyle w:val="Heading1"/>
      </w:pPr>
      <w:r>
        <w:t xml:space="preserve">ĐIỀU KHOẢN DỊCH VỤ PHÁP LÝ (PL-PL)</w:t>
      </w:r>
    </w:p>
    <w:bookmarkStart w:id="9" w:name="điều-khoản-dịch-vụ-cụ-thể"/>
    <w:p>
      <w:pPr>
        <w:pStyle w:val="Heading2"/>
      </w:pPr>
      <w:r>
        <w:t xml:space="preserve">Điều khoản dịch vụ cụ thể</w:t>
      </w:r>
    </w:p>
    <w:p>
      <w:pPr>
        <w:pStyle w:val="FirstParagraph"/>
      </w:pPr>
      <w:r>
        <w:rPr>
          <w:i/>
          <w:iCs/>
        </w:rPr>
        <w:t xml:space="preserve">Điều Khoản Dịch Vụ Cụ Thể, là bộ phận không tách rời của Bản Điều Khoản Chung; Công ty Cổ phần oBacker</w:t>
      </w:r>
      <w:r>
        <w:t xml:space="preserve"> </w:t>
      </w:r>
      <w:r>
        <w:t xml:space="preserve">MST: 0402298185 · Tầng 2, 06 Trần Phú, Phường Hải Châu, Thành phố Đà Nẵng · contact@obacker.com</w:t>
      </w:r>
    </w:p>
    <w:p>
      <w:pPr>
        <w:pStyle w:val="BodyText"/>
      </w:pPr>
      <w:r>
        <w:rPr>
          <w:b/>
          <w:bCs/>
        </w:rPr>
        <w:t xml:space="preserve">Phiên bản:</w:t>
      </w:r>
      <w:r>
        <w:t xml:space="preserve"> </w:t>
      </w:r>
      <w:r>
        <w:t xml:space="preserve">R.1.0.0 ·</w:t>
      </w:r>
      <w:r>
        <w:t xml:space="preserve"> </w:t>
      </w:r>
      <w:r>
        <w:rPr>
          <w:b/>
          <w:bCs/>
        </w:rPr>
        <w:t xml:space="preserve">Cập nhật:</w:t>
      </w:r>
      <w:r>
        <w:t xml:space="preserve"> </w:t>
      </w:r>
      <w:r>
        <w:t xml:space="preserve">21/09/2026</w:t>
      </w:r>
    </w:p>
    <w:p>
      <w:pPr>
        <w:pStyle w:val="BlockText"/>
      </w:pPr>
      <w:r>
        <w:t xml:space="preserve">Đây là Điều Khoản Dịch Vụ Cụ Thể áp dụng cho Dịch Vụ Pháp Lý (</w:t>
      </w:r>
      <w:r>
        <w:t xml:space="preserve">“</w:t>
      </w:r>
      <w:r>
        <w:rPr>
          <w:b/>
          <w:bCs/>
        </w:rPr>
        <w:t xml:space="preserve">Dịch Vụ</w:t>
      </w:r>
      <w:r>
        <w:t xml:space="preserve">”</w:t>
      </w:r>
      <w:r>
        <w:t xml:space="preserve">), gồm ba nhóm: (A) Tư vấn pháp lý và tư vấn thuế; (B) Rà soát và soạn thảo hợp đồng/văn bản; (C) Nghiên cứu theo yêu cầu. Tài liệu áp dụng khi Dịch Vụ được ghi nhận tại Đơn Đặt Hàng; theo vụ việc, theo giờ, hoặc theo số lượt rà soát trong gói.</w:t>
      </w:r>
      <w:r>
        <w:t xml:space="preserve"> </w:t>
      </w:r>
      <w:r>
        <w:rPr>
          <w:b/>
          <w:bCs/>
        </w:rPr>
        <w:t xml:space="preserve">Nếu có khác biệt giữa Bản Điều Khoản Chung và tài liệu này, tài liệu này được ưu tiên áp dụng cho Dịch Vụ.</w:t>
      </w:r>
    </w:p>
    <w:p>
      <w:r>
        <w:pict>
          <v:rect style="width:0;height:1.5pt" o:hralign="center" o:hrstd="t" o:hr="t"/>
        </w:pict>
      </w:r>
    </w:p>
    <w:bookmarkEnd w:id="9"/>
    <w:bookmarkStart w:id="10" w:name="điều-1.-định-nghĩa-và-phạm-vi-áp-dụng"/>
    <w:p>
      <w:pPr>
        <w:pStyle w:val="Heading2"/>
      </w:pPr>
      <w:r>
        <w:t xml:space="preserve">Điều 1. Định nghĩa và phạm vi áp dụng</w:t>
      </w:r>
    </w:p>
    <w:p>
      <w:pPr>
        <w:pStyle w:val="FirstParagraph"/>
      </w:pPr>
      <w:r>
        <w:t xml:space="preserve">Dịch Vụ Pháp Lý do Công ty Cổ phần oBacker cung cấp, phối hợp với</w:t>
      </w:r>
      <w:r>
        <w:t xml:space="preserve"> </w:t>
      </w:r>
      <w:r>
        <w:rPr>
          <w:b/>
          <w:bCs/>
        </w:rPr>
        <w:t xml:space="preserve">công ty luật đối tác độc lập</w:t>
      </w:r>
      <w:r>
        <w:t xml:space="preserve"> </w:t>
      </w:r>
      <w:r>
        <w:t xml:space="preserve">(dự kiến là Công ty Luật oBacker Law; sẽ thành lập; cho đến khi thành lập, Dịch Vụ được thực hiện qua (các) công ty luật đối tác độc lập). Nội dung gồm ý kiến tư vấn pháp lý và tư vấn thuế, rà soát và soạn thảo văn bản, và nghiên cứu pháp lý theo yêu cầu. Hình thức cung cấp theo Đơn Đặt Hàng; theo số giờ tư vấn mỗi kỳ, số lượt rà soát hợp đồng mỗi kỳ, hoặc theo từng vụ việc.</w:t>
      </w:r>
    </w:p>
    <w:p>
      <w:pPr>
        <w:pStyle w:val="BodyText"/>
      </w:pPr>
      <w:r>
        <w:t xml:space="preserve">oBacker chỉ thực hiện Dịch Vụ trong phạm vi các lĩnh vực và ngành mà oBacker phục vụ.</w:t>
      </w:r>
    </w:p>
    <w:bookmarkEnd w:id="10"/>
    <w:bookmarkStart w:id="11" w:name="điều-2.-phạm-vi-dịch-vụ"/>
    <w:p>
      <w:pPr>
        <w:pStyle w:val="Heading2"/>
      </w:pPr>
      <w:r>
        <w:t xml:space="preserve">Điều 2. Phạm vi Dịch Vụ</w:t>
      </w:r>
    </w:p>
    <w:p>
      <w:pPr>
        <w:pStyle w:val="FirstParagraph"/>
      </w:pPr>
      <w:r>
        <w:rPr>
          <w:b/>
          <w:bCs/>
        </w:rPr>
        <w:t xml:space="preserve">2.1. Tư vấn pháp lý:</w:t>
      </w:r>
    </w:p>
    <w:p>
      <w:pPr>
        <w:pStyle w:val="Compact"/>
        <w:numPr>
          <w:ilvl w:val="0"/>
          <w:numId w:val="1001"/>
        </w:numPr>
      </w:pPr>
      <w:r>
        <w:t xml:space="preserve">Đưa ra ý kiến về quy định áp dụng, rủi ro pháp lý và phương án xử lý cho tình huống của Quý Khách</w:t>
      </w:r>
    </w:p>
    <w:p>
      <w:pPr>
        <w:pStyle w:val="Compact"/>
        <w:numPr>
          <w:ilvl w:val="0"/>
          <w:numId w:val="1001"/>
        </w:numPr>
      </w:pPr>
      <w:r>
        <w:t xml:space="preserve">Tư vấn trong các lĩnh vực oBacker phục vụ, kể cả nội dung ngoài phạm vi của các bộ phận dịch vụ khác (kế toán, nhân sự, giấy phép).</w:t>
      </w:r>
    </w:p>
    <w:p>
      <w:pPr>
        <w:pStyle w:val="FirstParagraph"/>
      </w:pPr>
      <w:r>
        <w:rPr>
          <w:b/>
          <w:bCs/>
        </w:rPr>
        <w:t xml:space="preserve">2.2. Tư vấn thuế:</w:t>
      </w:r>
    </w:p>
    <w:p>
      <w:pPr>
        <w:pStyle w:val="Compact"/>
        <w:numPr>
          <w:ilvl w:val="0"/>
          <w:numId w:val="1002"/>
        </w:numPr>
      </w:pPr>
      <w:r>
        <w:t xml:space="preserve">Tư vấn phương án thuế, đánh giá ưu đãi và nghĩa vụ thuế áp dụng cho Quý Khách</w:t>
      </w:r>
    </w:p>
    <w:p>
      <w:pPr>
        <w:pStyle w:val="Compact"/>
        <w:numPr>
          <w:ilvl w:val="0"/>
          <w:numId w:val="1002"/>
        </w:numPr>
      </w:pPr>
      <w:r>
        <w:t xml:space="preserve">Đánh giá ảnh hưởng thuế của một giao dịch hoặc cấu trúc dự kiến</w:t>
      </w:r>
    </w:p>
    <w:p>
      <w:pPr>
        <w:pStyle w:val="Compact"/>
        <w:numPr>
          <w:ilvl w:val="0"/>
          <w:numId w:val="1002"/>
        </w:numPr>
      </w:pPr>
      <w:r>
        <w:rPr>
          <w:b/>
          <w:bCs/>
        </w:rPr>
        <w:t xml:space="preserve">Phân định:</w:t>
      </w:r>
      <w:r>
        <w:t xml:space="preserve"> </w:t>
      </w:r>
      <w:r>
        <w:t xml:space="preserve">kê khai và nộp thuế định kỳ thuộc Dịch Vụ Kế toán &amp; Thuế (PL-KT); nghĩa vụ TNCN từ lương thuộc Dịch Vụ Nhân Sự (PL-NS). Các nội dung này không thuộc tài liệu này.</w:t>
      </w:r>
    </w:p>
    <w:p>
      <w:pPr>
        <w:pStyle w:val="FirstParagraph"/>
      </w:pPr>
      <w:r>
        <w:rPr>
          <w:b/>
          <w:bCs/>
        </w:rPr>
        <w:t xml:space="preserve">2.3. Rà soát và soạn thảo hợp đồng/văn bản:</w:t>
      </w:r>
    </w:p>
    <w:p>
      <w:pPr>
        <w:pStyle w:val="Compact"/>
        <w:numPr>
          <w:ilvl w:val="0"/>
          <w:numId w:val="1003"/>
        </w:numPr>
      </w:pPr>
      <w:r>
        <w:t xml:space="preserve">Rà soát hợp đồng, văn bản pháp lý và lập báo cáo rà soát</w:t>
      </w:r>
    </w:p>
    <w:p>
      <w:pPr>
        <w:pStyle w:val="Compact"/>
        <w:numPr>
          <w:ilvl w:val="0"/>
          <w:numId w:val="1003"/>
        </w:numPr>
      </w:pPr>
      <w:r>
        <w:t xml:space="preserve">Soạn thảo hợp đồng, văn bản pháp lý theo yêu cầu; là dịch vụ riêng, báo phí theo Đơn Đặt Hàng.</w:t>
      </w:r>
    </w:p>
    <w:p>
      <w:pPr>
        <w:pStyle w:val="FirstParagraph"/>
      </w:pPr>
      <w:r>
        <w:rPr>
          <w:b/>
          <w:bCs/>
        </w:rPr>
        <w:t xml:space="preserve">2.4. Nghiên cứu theo yêu cầu:</w:t>
      </w:r>
    </w:p>
    <w:p>
      <w:pPr>
        <w:pStyle w:val="Compact"/>
        <w:numPr>
          <w:ilvl w:val="0"/>
          <w:numId w:val="1004"/>
        </w:numPr>
      </w:pPr>
      <w:r>
        <w:t xml:space="preserve">Nghiên cứu chuyên sâu một vấn đề pháp lý theo yêu cầu của Quý Khách; kết quả là báo cáo hoặc bản ghi nhớ pháp lý</w:t>
      </w:r>
    </w:p>
    <w:p>
      <w:pPr>
        <w:pStyle w:val="Compact"/>
        <w:numPr>
          <w:ilvl w:val="0"/>
          <w:numId w:val="1004"/>
        </w:numPr>
      </w:pPr>
      <w:r>
        <w:t xml:space="preserve">Là</w:t>
      </w:r>
      <w:r>
        <w:t xml:space="preserve"> </w:t>
      </w:r>
      <w:r>
        <w:rPr>
          <w:b/>
          <w:bCs/>
        </w:rPr>
        <w:t xml:space="preserve">dịch vụ tính phí</w:t>
      </w:r>
      <w:r>
        <w:t xml:space="preserve"> </w:t>
      </w:r>
      <w:r>
        <w:t xml:space="preserve">riêng theo phạm vi và độ phức tạp, báo giá trước khi thực hiện.</w:t>
      </w:r>
    </w:p>
    <w:bookmarkEnd w:id="11"/>
    <w:bookmarkStart w:id="12" w:name="điều-3.-giới-hạn-phạm-vi-dịch-vụ"/>
    <w:p>
      <w:pPr>
        <w:pStyle w:val="Heading2"/>
      </w:pPr>
      <w:r>
        <w:t xml:space="preserve">Điều 3. Giới hạn phạm vi Dịch Vụ</w:t>
      </w:r>
    </w:p>
    <w:p>
      <w:pPr>
        <w:pStyle w:val="Compact"/>
        <w:numPr>
          <w:ilvl w:val="0"/>
          <w:numId w:val="1005"/>
        </w:numPr>
      </w:pPr>
      <w:r>
        <w:t xml:space="preserve">Ý kiến tư vấn dựa trên thông tin, tài liệu Quý Khách cung cấp tại thời điểm tư vấn và pháp luật có hiệu lực tại thời điểm đó; khi dữ kiện hoặc pháp luật thay đổi, kết luận có thể thay đổi</w:t>
      </w:r>
    </w:p>
    <w:p>
      <w:pPr>
        <w:pStyle w:val="Compact"/>
        <w:numPr>
          <w:ilvl w:val="0"/>
          <w:numId w:val="1005"/>
        </w:numPr>
      </w:pPr>
      <w:r>
        <w:t xml:space="preserve">Tư vấn là ý kiến chuyên môn,</w:t>
      </w:r>
      <w:r>
        <w:t xml:space="preserve"> </w:t>
      </w:r>
      <w:r>
        <w:rPr>
          <w:b/>
          <w:bCs/>
        </w:rPr>
        <w:t xml:space="preserve">không phải bảo đảm kết quả</w:t>
      </w:r>
      <w:r>
        <w:t xml:space="preserve"> </w:t>
      </w:r>
      <w:r>
        <w:t xml:space="preserve">tại cơ quan nhà nước hoặc tòa án; quyết định cuối cùng thuộc thẩm quyền của các cơ quan đó</w:t>
      </w:r>
    </w:p>
    <w:p>
      <w:pPr>
        <w:pStyle w:val="Compact"/>
        <w:numPr>
          <w:ilvl w:val="0"/>
          <w:numId w:val="1005"/>
        </w:numPr>
      </w:pPr>
      <w:r>
        <w:t xml:space="preserve">Ý kiến tư vấn dành riêng cho Quý Khách và cho mục đích đã nêu. Bên thứ ba không được sử dụng hoặc dựa vào ý kiến này nếu không có đồng ý của oBacker; oBacker không chịu trách nhiệm với tổn thất phát sinh từ việc bên thứ ba tự ý sử dụng</w:t>
      </w:r>
    </w:p>
    <w:p>
      <w:pPr>
        <w:pStyle w:val="Compact"/>
        <w:numPr>
          <w:ilvl w:val="0"/>
          <w:numId w:val="1005"/>
        </w:numPr>
      </w:pPr>
      <w:r>
        <w:t xml:space="preserve">Phạm vi giới hạn ở pháp luật Việt Nam, trừ khi có thỏa thuận khác</w:t>
      </w:r>
    </w:p>
    <w:p>
      <w:pPr>
        <w:pStyle w:val="Compact"/>
        <w:numPr>
          <w:ilvl w:val="0"/>
          <w:numId w:val="1005"/>
        </w:numPr>
      </w:pPr>
      <w:r>
        <w:rPr>
          <w:b/>
          <w:bCs/>
        </w:rPr>
        <w:t xml:space="preserve">Không bao gồm</w:t>
      </w:r>
      <w:r>
        <w:t xml:space="preserve"> </w:t>
      </w:r>
      <w:r>
        <w:t xml:space="preserve">đại diện tranh tụng, tố tụng tại tòa án hoặc trọng tài; mua bán, sáp nhập doanh nghiệp và gọi vốn (thẩm định pháp lý chuyên sâu, đàm phán hợp đồng mua bán cổ phần và thỏa thuận cổ đông); đăng ký hoặc tranh chấp sở hữu trí tuệ; tái cấu trúc doanh nghiệp; trừ khi có thỏa thuận và Đơn Đặt Hàng riêng. Khi có nhu cầu, oBacker có thể giới thiệu đối tác phù hợp.</w:t>
      </w:r>
    </w:p>
    <w:bookmarkEnd w:id="12"/>
    <w:bookmarkStart w:id="13" w:name="X24624a1ff2117fd1ab693dd9d28696e2cffb538"/>
    <w:p>
      <w:pPr>
        <w:pStyle w:val="Heading2"/>
      </w:pPr>
      <w:r>
        <w:t xml:space="preserve">Điều 4. Phạm vi 01 lượt soát xét hợp đồng</w:t>
      </w:r>
    </w:p>
    <w:p>
      <w:pPr>
        <w:pStyle w:val="FirstParagraph"/>
      </w:pPr>
      <w:r>
        <w:t xml:space="preserve">Một (01) lượt soát xét hợp đồng bao gồm:</w:t>
      </w:r>
    </w:p>
    <w:p>
      <w:pPr>
        <w:pStyle w:val="Compact"/>
        <w:numPr>
          <w:ilvl w:val="0"/>
          <w:numId w:val="1006"/>
        </w:numPr>
      </w:pPr>
      <w:r>
        <w:rPr>
          <w:b/>
          <w:bCs/>
        </w:rPr>
        <w:t xml:space="preserve">01 hợp đồng độ dài tối đa 10 trang</w:t>
      </w:r>
      <w:r>
        <w:t xml:space="preserve"> </w:t>
      </w:r>
      <w:r>
        <w:t xml:space="preserve">(tương đương khoảng 3.000; 4.000 chữ)</w:t>
      </w:r>
    </w:p>
    <w:p>
      <w:pPr>
        <w:pStyle w:val="Compact"/>
        <w:numPr>
          <w:ilvl w:val="0"/>
          <w:numId w:val="1006"/>
        </w:numPr>
      </w:pPr>
      <w:r>
        <w:t xml:space="preserve">Kiểm tra rủi ro pháp lý cơ bản, chỉ ra và cảnh báo điều khoản bất lợi</w:t>
      </w:r>
    </w:p>
    <w:p>
      <w:pPr>
        <w:pStyle w:val="Compact"/>
        <w:numPr>
          <w:ilvl w:val="0"/>
          <w:numId w:val="1006"/>
        </w:numPr>
      </w:pPr>
      <w:r>
        <w:t xml:space="preserve">01 vòng rà soát và 01 vòng góp ý</w:t>
      </w:r>
    </w:p>
    <w:p>
      <w:pPr>
        <w:pStyle w:val="Compact"/>
        <w:numPr>
          <w:ilvl w:val="0"/>
          <w:numId w:val="1006"/>
        </w:numPr>
      </w:pPr>
      <w:r>
        <w:t xml:space="preserve">Thời gian xử lý: 03 ngày làm việc/lượt.</w:t>
      </w:r>
    </w:p>
    <w:p>
      <w:pPr>
        <w:pStyle w:val="FirstParagraph"/>
      </w:pPr>
      <w:r>
        <w:rPr>
          <w:b/>
          <w:bCs/>
        </w:rPr>
        <w:t xml:space="preserve">Hợp đồng vượt quá 10 trang:</w:t>
      </w:r>
      <w:r>
        <w:t xml:space="preserve"> </w:t>
      </w:r>
      <w:r>
        <w:t xml:space="preserve">hệ thống tính là</w:t>
      </w:r>
      <w:r>
        <w:t xml:space="preserve"> </w:t>
      </w:r>
      <w:r>
        <w:rPr>
          <w:b/>
          <w:bCs/>
        </w:rPr>
        <w:t xml:space="preserve">02 lượt soát xét</w:t>
      </w:r>
      <w:r>
        <w:t xml:space="preserve">, hoặc chuyển sang tư vấn dưới dạng</w:t>
      </w:r>
      <w:r>
        <w:t xml:space="preserve"> </w:t>
      </w:r>
      <w:r>
        <w:rPr>
          <w:b/>
          <w:bCs/>
        </w:rPr>
        <w:t xml:space="preserve">dịch vụ bổ sung ngoài gói (tính phí riêng)</w:t>
      </w:r>
      <w:r>
        <w:t xml:space="preserve"> </w:t>
      </w:r>
      <w:r>
        <w:t xml:space="preserve">tùy độ phức tạp (oBacker báo giá và chỉ thực hiện sau khi Quý Khách chấp thuận). Hợp đồng phức tạp (mua bán, sáp nhập doanh nghiệp; hợp tác kinh doanh; vay hợp vốn; hợp đồng mua bán cổ phần và thỏa thuận cổ đông…) thường thuộc nhóm này.</w:t>
      </w:r>
    </w:p>
    <w:p>
      <w:pPr>
        <w:pStyle w:val="BodyText"/>
      </w:pPr>
      <w:r>
        <w:rPr>
          <w:b/>
          <w:bCs/>
        </w:rPr>
        <w:t xml:space="preserve">Cần cung cấp khi yêu cầu soát xét:</w:t>
      </w:r>
      <w:r>
        <w:t xml:space="preserve"> </w:t>
      </w:r>
      <w:r>
        <w:t xml:space="preserve">bản hợp đồng (định dạng Word hoặc PDF sao chép được nội dung), bối cảnh giao dịch, vị thế của Quý Khách (bên mua/bán/trung gian), và các điều khoản đặc biệt quan tâm.</w:t>
      </w:r>
    </w:p>
    <w:bookmarkEnd w:id="13"/>
    <w:bookmarkStart w:id="14" w:name="điều-5.-sản-phẩm-bàn-giao"/>
    <w:p>
      <w:pPr>
        <w:pStyle w:val="Heading2"/>
      </w:pPr>
      <w:r>
        <w:t xml:space="preserve">Điều 5. Sản phẩm bàn giao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Hình thức</w:t>
            </w:r>
          </w:p>
        </w:tc>
        <w:tc>
          <w:tcPr/>
          <w:p>
            <w:pPr>
              <w:pStyle w:val="Compact"/>
            </w:pPr>
            <w:r>
              <w:t xml:space="preserve">Sản phẩm bàn giao</w:t>
            </w:r>
          </w:p>
        </w:tc>
      </w:tr>
      <w:tr>
        <w:tc>
          <w:tcPr/>
          <w:p>
            <w:pPr>
              <w:pStyle w:val="Compact"/>
            </w:pPr>
            <w:r>
              <w:t xml:space="preserve">Tư vấn pháp lý / tư vấn thuế</w:t>
            </w:r>
          </w:p>
        </w:tc>
        <w:tc>
          <w:tcPr/>
          <w:p>
            <w:pPr>
              <w:pStyle w:val="Compact"/>
            </w:pPr>
            <w:r>
              <w:t xml:space="preserve">Thư tư vấn bằng văn bản, hoặc ý kiến qua thư điện tử, hoặc buổi tư vấn trực tiếp (gặp mặt hoặc gọi video trực tuyến).</w:t>
            </w:r>
          </w:p>
        </w:tc>
      </w:tr>
      <w:tr>
        <w:tc>
          <w:tcPr/>
          <w:p>
            <w:pPr>
              <w:pStyle w:val="Compact"/>
            </w:pPr>
            <w:r>
              <w:t xml:space="preserve">Soát xét hợp đồng</w:t>
            </w:r>
          </w:p>
        </w:tc>
        <w:tc>
          <w:tcPr/>
          <w:p>
            <w:pPr>
              <w:pStyle w:val="Compact"/>
            </w:pPr>
            <w:r>
              <w:t xml:space="preserve">Báo cáo rà soát hợp đồng nêu rủi ro pháp lý, cảnh báo điều khoản bất lợi và khuyến nghị.</w:t>
            </w:r>
            <w:r>
              <w:t xml:space="preserve"> </w:t>
            </w:r>
            <w:r>
              <w:rPr>
                <w:b/>
                <w:bCs/>
              </w:rPr>
              <w:t xml:space="preserve">Sản phẩm là báo cáo rà soát;</w:t>
            </w:r>
            <w:r>
              <w:rPr>
                <w:b/>
                <w:bCs/>
              </w:rPr>
              <w:t xml:space="preserve">không bao gồm bản hợp đồng đã chỉnh sửa.</w:t>
            </w:r>
          </w:p>
        </w:tc>
      </w:tr>
      <w:tr>
        <w:tc>
          <w:tcPr/>
          <w:p>
            <w:pPr>
              <w:pStyle w:val="Compact"/>
            </w:pPr>
            <w:r>
              <w:t xml:space="preserve">Soạn thảo văn bản</w:t>
            </w:r>
          </w:p>
        </w:tc>
        <w:tc>
          <w:tcPr/>
          <w:p>
            <w:pPr>
              <w:pStyle w:val="Compact"/>
            </w:pPr>
            <w:r>
              <w:t xml:space="preserve">Bản thảo hợp đồng hoặc văn bản pháp lý, khi thuộc phạm vi hoặc theo dịch vụ riêng.</w:t>
            </w:r>
          </w:p>
        </w:tc>
      </w:tr>
      <w:tr>
        <w:tc>
          <w:tcPr/>
          <w:p>
            <w:pPr>
              <w:pStyle w:val="Compact"/>
            </w:pPr>
            <w:r>
              <w:t xml:space="preserve">Nghiên cứu theo yêu cầu</w:t>
            </w:r>
          </w:p>
        </w:tc>
        <w:tc>
          <w:tcPr/>
          <w:p>
            <w:pPr>
              <w:pStyle w:val="Compact"/>
            </w:pPr>
            <w:r>
              <w:t xml:space="preserve">Báo cáo hoặc bản ghi nhớ pháp lý theo phạm vi yêu cầu.</w:t>
            </w:r>
          </w:p>
        </w:tc>
      </w:tr>
    </w:tbl>
    <w:p>
      <w:pPr>
        <w:pStyle w:val="BodyText"/>
      </w:pPr>
      <w:r>
        <w:rPr>
          <w:i/>
          <w:iCs/>
        </w:rPr>
        <w:t xml:space="preserve">Việc chỉnh sửa hoặc soạn thảo lại hợp đồng dựa trên kết quả rà soát là dịch vụ riêng, được báo phí theo Đơn Đặt Hàng.</w:t>
      </w:r>
    </w:p>
    <w:bookmarkEnd w:id="14"/>
    <w:bookmarkStart w:id="15" w:name="điều-6.-thời-hạn-và-tiến-độ"/>
    <w:p>
      <w:pPr>
        <w:pStyle w:val="Heading2"/>
      </w:pPr>
      <w:r>
        <w:t xml:space="preserve">Điều 6. Thời hạn và tiến độ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Công việc</w:t>
            </w:r>
          </w:p>
        </w:tc>
        <w:tc>
          <w:tcPr/>
          <w:p>
            <w:pPr>
              <w:pStyle w:val="Compact"/>
            </w:pPr>
            <w:r>
              <w:t xml:space="preserve">Thời hạn</w:t>
            </w:r>
          </w:p>
        </w:tc>
      </w:tr>
      <w:tr>
        <w:tc>
          <w:tcPr/>
          <w:p>
            <w:pPr>
              <w:pStyle w:val="Compact"/>
            </w:pPr>
            <w:r>
              <w:t xml:space="preserve">Soát xét 01 hợp đồng (độ dài tối đa 10 trang)</w:t>
            </w:r>
          </w:p>
        </w:tc>
        <w:tc>
          <w:tcPr/>
          <w:p>
            <w:pPr>
              <w:pStyle w:val="Compact"/>
            </w:pPr>
            <w:r>
              <w:t xml:space="preserve">03 ngày làm việc/lượt, gồm 01 vòng rà soát</w:t>
            </w:r>
          </w:p>
        </w:tc>
      </w:tr>
      <w:tr>
        <w:tc>
          <w:tcPr/>
          <w:p>
            <w:pPr>
              <w:pStyle w:val="Compact"/>
            </w:pPr>
            <w:r>
              <w:t xml:space="preserve">Tư vấn theo giờ trong gói</w:t>
            </w:r>
          </w:p>
        </w:tc>
        <w:tc>
          <w:tcPr/>
          <w:p>
            <w:pPr>
              <w:pStyle w:val="Compact"/>
            </w:pPr>
            <w:r>
              <w:t xml:space="preserve">Theo lịch hẹn trong kỳ (thư điện tử, gặp mặt hoặc gọi video trực tuyến)</w:t>
            </w:r>
          </w:p>
        </w:tc>
      </w:tr>
      <w:tr>
        <w:tc>
          <w:tcPr/>
          <w:p>
            <w:pPr>
              <w:pStyle w:val="Compact"/>
            </w:pPr>
            <w:r>
              <w:t xml:space="preserve">Nghiên cứu theo yêu cầu</w:t>
            </w:r>
          </w:p>
        </w:tc>
        <w:tc>
          <w:tcPr/>
          <w:p>
            <w:pPr>
              <w:pStyle w:val="Compact"/>
            </w:pPr>
            <w:r>
              <w:t xml:space="preserve">Theo phạm vi thỏa thuận tại Đơn Đặt Hàng</w:t>
            </w:r>
          </w:p>
        </w:tc>
      </w:tr>
      <w:tr>
        <w:tc>
          <w:tcPr/>
          <w:p>
            <w:pPr>
              <w:pStyle w:val="Compact"/>
            </w:pPr>
            <w:r>
              <w:t xml:space="preserve">Phản hồi yêu cầu</w:t>
            </w:r>
          </w:p>
        </w:tc>
        <w:tc>
          <w:tcPr/>
          <w:p>
            <w:pPr>
              <w:pStyle w:val="Compact"/>
            </w:pPr>
            <w:r>
              <w:t xml:space="preserve">Trong 48 giờ làm việc kể từ khi tiếp nhận (có xác nhận tiếp nhận)</w:t>
            </w:r>
          </w:p>
        </w:tc>
      </w:tr>
    </w:tbl>
    <w:p>
      <w:pPr>
        <w:pStyle w:val="BodyText"/>
      </w:pPr>
      <w:r>
        <w:t xml:space="preserve">Số giờ và số lượt tư vấn trong gói áp dụng theo từng kỳ và</w:t>
      </w:r>
      <w:r>
        <w:t xml:space="preserve"> </w:t>
      </w:r>
      <w:r>
        <w:rPr>
          <w:b/>
          <w:bCs/>
        </w:rPr>
        <w:t xml:space="preserve">không tích lũy</w:t>
      </w:r>
      <w:r>
        <w:t xml:space="preserve"> </w:t>
      </w:r>
      <w:r>
        <w:t xml:space="preserve">sang kỳ sau, trừ khi Đơn Đặt Hàng quy định khác.</w:t>
      </w:r>
    </w:p>
    <w:bookmarkEnd w:id="15"/>
    <w:bookmarkStart w:id="16" w:name="Xdeeaf52133290c12d59365c4ef71d63ae9a3d9f"/>
    <w:p>
      <w:pPr>
        <w:pStyle w:val="Heading2"/>
      </w:pPr>
      <w:r>
        <w:t xml:space="preserve">Điều 7. Sở hữu trí tuệ đối với sản phẩm công việc</w:t>
      </w:r>
    </w:p>
    <w:p>
      <w:pPr>
        <w:pStyle w:val="FirstParagraph"/>
      </w:pPr>
      <w:r>
        <w:t xml:space="preserve">oBacker giữ bản quyền và các quyền sở hữu trí tuệ đối với sản phẩm công việc của mình (ý kiến tư vấn, báo cáo rà soát, bản thảo hợp đồng, biểu mẫu, báo cáo nghiên cứu). Trong thời gian Hợp Đồng có hiệu lực, Quý Khách có quyền không thể hủy bỏ để sử dụng và sao chép các tài liệu oBacker chuẩn bị, cho đúng công việc thuộc phạm vi.</w:t>
      </w:r>
    </w:p>
    <w:bookmarkEnd w:id="16"/>
    <w:bookmarkStart w:id="17" w:name="điều-8.-nguyên-tắc-phối-hợp"/>
    <w:p>
      <w:pPr>
        <w:pStyle w:val="Heading2"/>
      </w:pPr>
      <w:r>
        <w:t xml:space="preserve">Điều 8. Nguyên tắc phối hợp</w:t>
      </w:r>
    </w:p>
    <w:p>
      <w:pPr>
        <w:pStyle w:val="Compact"/>
        <w:numPr>
          <w:ilvl w:val="0"/>
          <w:numId w:val="1007"/>
        </w:numPr>
      </w:pPr>
      <w:r>
        <w:t xml:space="preserve">Quý Khách nêu rõ bối cảnh, mục tiêu và cung cấp tài liệu liên quan một cách đầy đủ, trung thực;</w:t>
      </w:r>
      <w:r>
        <w:t xml:space="preserve"> </w:t>
      </w:r>
      <w:r>
        <w:rPr>
          <w:b/>
          <w:bCs/>
        </w:rPr>
        <w:t xml:space="preserve">chất lượng tư vấn gắn trực tiếp với chất lượng thông tin đầu vào</w:t>
      </w:r>
      <w:r>
        <w:t xml:space="preserve"> </w:t>
      </w:r>
      <w:r>
        <w:t xml:space="preserve">(Điều 3 Bản Điều Khoản Chung)</w:t>
      </w:r>
    </w:p>
    <w:p>
      <w:pPr>
        <w:pStyle w:val="Compact"/>
        <w:numPr>
          <w:ilvl w:val="0"/>
          <w:numId w:val="1007"/>
        </w:numPr>
      </w:pPr>
      <w:r>
        <w:t xml:space="preserve">Với yêu cầu soát xét hợp đồng, Quý Khách cung cấp bản hợp đồng, bối cảnh giao dịch, vị thế và các điều khoản đặc biệt quan tâm</w:t>
      </w:r>
    </w:p>
    <w:p>
      <w:pPr>
        <w:pStyle w:val="Compact"/>
        <w:numPr>
          <w:ilvl w:val="0"/>
          <w:numId w:val="1007"/>
        </w:numPr>
      </w:pPr>
      <w:r>
        <w:rPr>
          <w:b/>
          <w:bCs/>
        </w:rPr>
        <w:t xml:space="preserve">Bảo mật:</w:t>
      </w:r>
      <w:r>
        <w:t xml:space="preserve"> </w:t>
      </w:r>
      <w:r>
        <w:t xml:space="preserve">ý kiến tư vấn được chuẩn bị riêng cho Quý Khách và được bảo mật theo Điều 7 Bản Điều Khoản Chung</w:t>
      </w:r>
    </w:p>
    <w:p>
      <w:pPr>
        <w:pStyle w:val="Compact"/>
        <w:numPr>
          <w:ilvl w:val="0"/>
          <w:numId w:val="1007"/>
        </w:numPr>
      </w:pPr>
      <w:r>
        <w:t xml:space="preserve">oBacker có thể liên lạc trực tiếp với thành viên trong đội ngũ hoặc cố vấn của Quý Khách mà oBacker tin là có liên quan đến công việc.</w:t>
      </w:r>
    </w:p>
    <w:bookmarkEnd w:id="17"/>
    <w:bookmarkStart w:id="18" w:name="điều-9.-phí-dịch-vụ"/>
    <w:p>
      <w:pPr>
        <w:pStyle w:val="Heading2"/>
      </w:pPr>
      <w:r>
        <w:t xml:space="preserve">Điều 9. Phí Dịch Vụ</w:t>
      </w:r>
    </w:p>
    <w:p>
      <w:pPr>
        <w:pStyle w:val="FirstParagraph"/>
      </w:pPr>
      <w:r>
        <w:t xml:space="preserve">Phí Dịch Vụ được xác định theo Đơn Đặt Hàng; theo giờ, theo lượt rà soát, theo vụ việc hoặc theo phạm vi nghiên cứu. Khi nhu cầu vượt hạn mức trong gói (thêm giờ, thêm lượt, hợp đồng vượt 10 trang, soạn thảo mới, nghiên cứu theo yêu cầu, hoặc công việc ngoài phạm vi), oBacker thông báo trước và chỉ thực hiện sau khi Quý Khách chấp thuận. Chiết khấu dịch vụ bổ sung ngoài gói áp dụng theo gói (Scale 5%, Premium 10%) nếu được ghi tại Đơn Đặt Hàng.</w:t>
      </w:r>
    </w:p>
    <w:p>
      <w:r>
        <w:pict>
          <v:rect style="width:0;height:1.5pt" o:hralign="center" o:hrstd="t" o:hr="t"/>
        </w:pict>
      </w:r>
    </w:p>
    <w:p>
      <w:pPr>
        <w:pStyle w:val="FirstParagraph"/>
      </w:pPr>
      <w:r>
        <w:rPr>
          <w:b/>
          <w:bCs/>
        </w:rPr>
        <w:t xml:space="preserve">Công ty Cổ phần oBacker</w:t>
      </w:r>
      <w:r>
        <w:t xml:space="preserve"> </w:t>
      </w:r>
      <w:r>
        <w:t xml:space="preserve">· MST: 0402298185 · Tầng 2, 06 Trần Phú, Phường Hải Châu, Thành phố Đà Nẵng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18"/>
    <w:bookmarkStart w:id="19"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KHOẢN DỊCH VỤ PHÁP LÝ (PL-PL)</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