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CẨM NANG LÀM VIỆC VỚI OBACKER</w:t>
      </w:r>
    </w:p>
    <w:bookmarkStart w:id="26" w:name="cẩm-nang-làm-việc-với-obacker"/>
    <w:p>
      <w:pPr>
        <w:pStyle w:val="Heading1"/>
      </w:pPr>
      <w:r>
        <w:t xml:space="preserve">CẨM NANG LÀM VIỆC VỚI OBACKER</w:t>
      </w:r>
    </w:p>
    <w:bookmarkStart w:id="9" w:name="hướng-dẫn-dành-cho-quý-khách"/>
    <w:p>
      <w:pPr>
        <w:pStyle w:val="Heading3"/>
      </w:pPr>
      <w:r>
        <w:t xml:space="preserve">Hướng dẫn dành cho Quý Khách</w:t>
      </w:r>
    </w:p>
    <w:p>
      <w:pPr>
        <w:pStyle w:val="FirstParagraph"/>
      </w:pPr>
      <w:r>
        <w:rPr>
          <w:b/>
          <w:bCs/>
        </w:rPr>
        <w:t xml:space="preserve">Phiên bản:</w:t>
      </w:r>
      <w:r>
        <w:t xml:space="preserve"> </w:t>
      </w:r>
      <w:r>
        <w:t xml:space="preserve">R.1.0.0 ·</w:t>
      </w:r>
      <w:r>
        <w:t xml:space="preserve"> </w:t>
      </w:r>
      <w:r>
        <w:rPr>
          <w:b/>
          <w:bCs/>
        </w:rPr>
        <w:t xml:space="preserve">Cập nhật:</w:t>
      </w:r>
      <w:r>
        <w:t xml:space="preserve"> </w:t>
      </w:r>
      <w:r>
        <w:t xml:space="preserve">21/09/2026 · Áp dụng cho gói Starter, Scale và Premium</w:t>
      </w:r>
    </w:p>
    <w:p>
      <w:pPr>
        <w:pStyle w:val="BlockText"/>
      </w:pPr>
      <w:r>
        <w:t xml:space="preserve">Tài liệu này là cẩm nang hướng dẫn nhằm giúp Quý Khách phối hợp với oBacker thuận lợi. Đây không phải là hợp đồng. Trường hợp có khác biệt giữa cẩm nang này và Hợp Đồng dịch vụ (Điều Khoản &amp; Điều Kiện, Đơn Đặt Hàng và các Điều Khoản Dịch Vụ Cụ Thể), nội dung Hợp Đồng được áp dụng.</w:t>
      </w:r>
    </w:p>
    <w:p>
      <w:r>
        <w:pict>
          <v:rect style="width:0;height:1.5pt" o:hralign="center" o:hrstd="t" o:hr="t"/>
        </w:pict>
      </w:r>
    </w:p>
    <w:bookmarkEnd w:id="9"/>
    <w:bookmarkStart w:id="10" w:name="về-obacker"/>
    <w:p>
      <w:pPr>
        <w:pStyle w:val="Heading2"/>
      </w:pPr>
      <w:r>
        <w:t xml:space="preserve">1. Về oBacker</w:t>
      </w:r>
    </w:p>
    <w:p>
      <w:pPr>
        <w:pStyle w:val="FirstParagraph"/>
      </w:pPr>
      <w:r>
        <w:t xml:space="preserve">Công ty Cổ phần oBacker cung cấp dịch vụ vận hành doanh nghiệp cho doanh nghiệp vừa và nhỏ, doanh nghiệp khởi nghiệp và doanh nghiệp có vốn đầu tư nước ngoài tại Việt Nam, gồm: kế toán, thuế, nhân sự và tiền lương, pháp lý và cấp phép. Nhờ đó, doanh nghiệp bảo đảm tuân thủ đầy đủ nghĩa vụ mà không cần tự xây dựng bộ máy vận hành nội bộ.</w:t>
      </w:r>
    </w:p>
    <w:p>
      <w:pPr>
        <w:pStyle w:val="BodyText"/>
      </w:pPr>
      <w:r>
        <w:rPr>
          <w:b/>
          <w:bCs/>
        </w:rPr>
        <w:t xml:space="preserve">Thông tin liên hệ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Kênh</w:t>
            </w:r>
          </w:p>
        </w:tc>
        <w:tc>
          <w:tcPr/>
          <w:p>
            <w:pPr>
              <w:pStyle w:val="Compact"/>
            </w:pPr>
            <w:r>
              <w:t xml:space="preserve">Thông tin</w:t>
            </w:r>
          </w:p>
        </w:tc>
      </w:tr>
      <w:tr>
        <w:tc>
          <w:tcPr/>
          <w:p>
            <w:pPr>
              <w:pStyle w:val="Compact"/>
            </w:pPr>
            <w:r>
              <w:t xml:space="preserve">Trụ sở chính (Đà Nẵng)</w:t>
            </w:r>
          </w:p>
        </w:tc>
        <w:tc>
          <w:tcPr/>
          <w:p>
            <w:pPr>
              <w:pStyle w:val="Compact"/>
            </w:pPr>
            <w:r>
              <w:t xml:space="preserve">Tầng 2, 06 Trần Phú, Phường Hải Châu, Thành phố Đà Nẵng</w:t>
            </w:r>
          </w:p>
        </w:tc>
      </w:tr>
      <w:tr>
        <w:tc>
          <w:tcPr/>
          <w:p>
            <w:pPr>
              <w:pStyle w:val="Compact"/>
            </w:pPr>
            <w:r>
              <w:t xml:space="preserve">Văn phòng TP.HCM</w:t>
            </w:r>
          </w:p>
        </w:tc>
        <w:tc>
          <w:tcPr/>
          <w:p>
            <w:pPr>
              <w:pStyle w:val="Compact"/>
            </w:pPr>
            <w:r>
              <w:t xml:space="preserve">15 Hoàng Kế Viêm, P. Bảy Hiền, TP.HCM</w:t>
            </w:r>
          </w:p>
        </w:tc>
      </w:tr>
      <w:tr>
        <w:tc>
          <w:tcPr/>
          <w:p>
            <w:pPr>
              <w:pStyle w:val="Compact"/>
            </w:pPr>
            <w:r>
              <w:t xml:space="preserve">Thư điện tử chung</w:t>
            </w:r>
          </w:p>
        </w:tc>
        <w:tc>
          <w:tcPr/>
          <w:p>
            <w:pPr>
              <w:pStyle w:val="Compact"/>
            </w:pPr>
            <w:r>
              <w:t xml:space="preserve">contact@obacker.com</w:t>
            </w:r>
          </w:p>
        </w:tc>
      </w:tr>
      <w:tr>
        <w:tc>
          <w:tcPr/>
          <w:p>
            <w:pPr>
              <w:pStyle w:val="Compact"/>
            </w:pPr>
            <w:r>
              <w:t xml:space="preserve">Thư điện tử vận hành (ưu tiên)</w:t>
            </w:r>
          </w:p>
        </w:tc>
        <w:tc>
          <w:tcPr/>
          <w:p>
            <w:pPr>
              <w:pStyle w:val="Compact"/>
            </w:pPr>
            <w:r>
              <w:t xml:space="preserve">ops@obacker.com</w:t>
            </w:r>
          </w:p>
        </w:tc>
      </w:tr>
      <w:tr>
        <w:tc>
          <w:tcPr/>
          <w:p>
            <w:pPr>
              <w:pStyle w:val="Compact"/>
            </w:pPr>
            <w:r>
              <w:t xml:space="preserve">Đường dây nóng</w:t>
            </w:r>
          </w:p>
        </w:tc>
        <w:tc>
          <w:tcPr/>
          <w:p>
            <w:pPr>
              <w:pStyle w:val="Compact"/>
            </w:pPr>
            <w:r>
              <w:t xml:space="preserve">02-888-999-789</w:t>
            </w:r>
          </w:p>
        </w:tc>
      </w:tr>
      <w:tr>
        <w:tc>
          <w:tcPr/>
          <w:p>
            <w:pPr>
              <w:pStyle w:val="Compact"/>
            </w:pPr>
            <w:r>
              <w:t xml:space="preserve">Trang thông tin</w:t>
            </w:r>
          </w:p>
        </w:tc>
        <w:tc>
          <w:tcPr/>
          <w:p>
            <w:pPr>
              <w:pStyle w:val="Compact"/>
            </w:pPr>
            <w:r>
              <w:t xml:space="preserve">obacker.com</w:t>
            </w:r>
          </w:p>
        </w:tc>
      </w:tr>
      <w:tr>
        <w:tc>
          <w:tcPr/>
          <w:p>
            <w:pPr>
              <w:pStyle w:val="Compact"/>
            </w:pPr>
            <w:r>
              <w:t xml:space="preserve">Nền tảng biểu mẫu</w:t>
            </w:r>
          </w:p>
        </w:tc>
        <w:tc>
          <w:tcPr/>
          <w:p>
            <w:pPr>
              <w:pStyle w:val="Compact"/>
            </w:pPr>
            <w:r>
              <w:t xml:space="preserve">formtify.obacker.com</w:t>
            </w:r>
          </w:p>
        </w:tc>
      </w:tr>
    </w:tbl>
    <w:bookmarkEnd w:id="10"/>
    <w:bookmarkStart w:id="11" w:name="năm-nguyên-tắc-phối-hợp"/>
    <w:p>
      <w:pPr>
        <w:pStyle w:val="Heading2"/>
      </w:pPr>
      <w:r>
        <w:t xml:space="preserve">2. Năm nguyên tắc phối hợp</w:t>
      </w:r>
    </w:p>
    <w:p>
      <w:pPr>
        <w:pStyle w:val="Compact"/>
        <w:numPr>
          <w:ilvl w:val="0"/>
          <w:numId w:val="1001"/>
        </w:numPr>
      </w:pPr>
      <w:r>
        <w:rPr>
          <w:b/>
          <w:bCs/>
        </w:rPr>
        <w:t xml:space="preserve">Một đầu mối duy nhất.</w:t>
      </w:r>
      <w:r>
        <w:t xml:space="preserve"> </w:t>
      </w:r>
      <w:r>
        <w:t xml:space="preserve">Mỗi Quý Khách được oBacker chỉ định một người phụ trách tài khoản làm đầu mối liên hệ cho mọi nghiệp vụ. Quý Khách gửi mọi yêu cầu, câu hỏi và phê duyệt qua đầu mối này.</w:t>
      </w:r>
    </w:p>
    <w:p>
      <w:pPr>
        <w:pStyle w:val="Compact"/>
        <w:numPr>
          <w:ilvl w:val="0"/>
          <w:numId w:val="1001"/>
        </w:numPr>
      </w:pPr>
      <w:r>
        <w:rPr>
          <w:b/>
          <w:bCs/>
        </w:rPr>
        <w:t xml:space="preserve">Mọi khoản phí đều rõ ràng bằng văn bản.</w:t>
      </w:r>
      <w:r>
        <w:t xml:space="preserve"> </w:t>
      </w:r>
      <w:r>
        <w:t xml:space="preserve">Trước khi phát sinh bất kỳ chi phí ngoài gói nào, oBacker gửi báo giá và chỉ thực hiện sau khi Quý Khách chấp thuận.</w:t>
      </w:r>
    </w:p>
    <w:p>
      <w:pPr>
        <w:pStyle w:val="Compact"/>
        <w:numPr>
          <w:ilvl w:val="0"/>
          <w:numId w:val="1001"/>
        </w:numPr>
      </w:pPr>
      <w:r>
        <w:rPr>
          <w:b/>
          <w:bCs/>
        </w:rPr>
        <w:t xml:space="preserve">Quý Khách chịu trách nhiệm về dữ liệu đầu vào.</w:t>
      </w:r>
      <w:r>
        <w:t xml:space="preserve"> </w:t>
      </w:r>
      <w:r>
        <w:t xml:space="preserve">oBacker hạch toán và xử lý dựa trên hồ sơ, chứng từ do Quý Khách cung cấp. Quý Khách cam kết cung cấp đầy đủ, chính xác và đúng hạn.</w:t>
      </w:r>
    </w:p>
    <w:p>
      <w:pPr>
        <w:pStyle w:val="Compact"/>
        <w:numPr>
          <w:ilvl w:val="0"/>
          <w:numId w:val="1001"/>
        </w:numPr>
      </w:pPr>
      <w:r>
        <w:rPr>
          <w:b/>
          <w:bCs/>
        </w:rPr>
        <w:t xml:space="preserve">Cam kết thời gian phản hồi.</w:t>
      </w:r>
      <w:r>
        <w:t xml:space="preserve"> </w:t>
      </w:r>
      <w:r>
        <w:t xml:space="preserve">oBacker phản hồi trong vòng 24 giờ làm việc đối với yêu cầu gửi qua email. Các nghĩa vụ có thời hạn với cơ quan nhà nước được ưu tiên xử lý trong ngày.</w:t>
      </w:r>
    </w:p>
    <w:p>
      <w:pPr>
        <w:pStyle w:val="Compact"/>
        <w:numPr>
          <w:ilvl w:val="0"/>
          <w:numId w:val="1001"/>
        </w:numPr>
      </w:pPr>
      <w:r>
        <w:rPr>
          <w:b/>
          <w:bCs/>
        </w:rPr>
        <w:t xml:space="preserve">Thư điện tử là hồ sơ chính thức.</w:t>
      </w:r>
      <w:r>
        <w:t xml:space="preserve"> </w:t>
      </w:r>
      <w:r>
        <w:t xml:space="preserve">Chỉ những thông tin được xác nhận và phản hồi qua thư điện tử (đúng luồng) mới được oBacker ghi nhận vào hệ thống. Trao đổi qua điện thoại hoặc tin nhắn chỉ mang tính hỗ trợ nhanh và cần được xác nhận lại bằng thư điện tử.</w:t>
      </w:r>
    </w:p>
    <w:bookmarkEnd w:id="11"/>
    <w:bookmarkStart w:id="12" w:name="so-sánh-ba-gói-dịch-vụ"/>
    <w:p>
      <w:pPr>
        <w:pStyle w:val="Heading2"/>
      </w:pPr>
      <w:r>
        <w:t xml:space="preserve">3. So sánh ba gói dịch vụ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Starter</w:t>
            </w:r>
          </w:p>
        </w:tc>
        <w:tc>
          <w:tcPr/>
          <w:p>
            <w:pPr>
              <w:pStyle w:val="Compact"/>
            </w:pPr>
            <w:r>
              <w:t xml:space="preserve">Scale</w:t>
            </w:r>
          </w:p>
        </w:tc>
        <w:tc>
          <w:tcPr/>
          <w:p>
            <w:pPr>
              <w:pStyle w:val="Compact"/>
            </w:pPr>
            <w:r>
              <w:t xml:space="preserve">Premium</w:t>
            </w:r>
          </w:p>
        </w:tc>
      </w:tr>
      <w:tr>
        <w:tc>
          <w:tcPr/>
          <w:p>
            <w:pPr>
              <w:pStyle w:val="Compact"/>
            </w:pPr>
            <w:r>
              <w:t xml:space="preserve">Phí mỗi tháng</w:t>
            </w:r>
          </w:p>
        </w:tc>
        <w:tc>
          <w:tcPr/>
          <w:p>
            <w:pPr>
              <w:pStyle w:val="Compact"/>
            </w:pPr>
            <w:r>
              <w:t xml:space="preserve">1.350.000đ</w:t>
            </w:r>
          </w:p>
        </w:tc>
        <w:tc>
          <w:tcPr/>
          <w:p>
            <w:pPr>
              <w:pStyle w:val="Compact"/>
            </w:pPr>
            <w:r>
              <w:t xml:space="preserve">5.400.000đ</w:t>
            </w:r>
          </w:p>
        </w:tc>
        <w:tc>
          <w:tcPr/>
          <w:p>
            <w:pPr>
              <w:pStyle w:val="Compact"/>
            </w:pPr>
            <w:r>
              <w:t xml:space="preserve">15.660.000đ</w:t>
            </w:r>
          </w:p>
        </w:tc>
      </w:tr>
      <w:tr>
        <w:tc>
          <w:tcPr/>
          <w:p>
            <w:pPr>
              <w:pStyle w:val="Compact"/>
            </w:pPr>
            <w:r>
              <w:t xml:space="preserve">Thời gian cam kết tối thiểu</w:t>
            </w:r>
          </w:p>
        </w:tc>
        <w:tc>
          <w:tcPr/>
          <w:p>
            <w:pPr>
              <w:pStyle w:val="Compact"/>
            </w:pPr>
            <w:r>
              <w:t xml:space="preserve">3 tháng</w:t>
            </w:r>
          </w:p>
        </w:tc>
        <w:tc>
          <w:tcPr/>
          <w:p>
            <w:pPr>
              <w:pStyle w:val="Compact"/>
            </w:pPr>
            <w:r>
              <w:t xml:space="preserve">3 tháng</w:t>
            </w:r>
          </w:p>
        </w:tc>
        <w:tc>
          <w:tcPr/>
          <w:p>
            <w:pPr>
              <w:pStyle w:val="Compact"/>
            </w:pPr>
            <w:r>
              <w:t xml:space="preserve">3 tháng</w:t>
            </w:r>
          </w:p>
        </w:tc>
      </w:tr>
      <w:tr>
        <w:tc>
          <w:tcPr/>
          <w:p>
            <w:pPr>
              <w:pStyle w:val="Compact"/>
            </w:pPr>
            <w:r>
              <w:t xml:space="preserve">Giới hạn giao dịch mỗi tháng</w:t>
            </w:r>
          </w:p>
        </w:tc>
        <w:tc>
          <w:tcPr/>
          <w:p>
            <w:pPr>
              <w:pStyle w:val="Compact"/>
            </w:pPr>
            <w:r>
              <w:t xml:space="preserve">dưới 50</w:t>
            </w:r>
          </w:p>
        </w:tc>
        <w:tc>
          <w:tcPr/>
          <w:p>
            <w:pPr>
              <w:pStyle w:val="Compact"/>
            </w:pPr>
            <w:r>
              <w:t xml:space="preserve">dưới 300</w:t>
            </w:r>
          </w:p>
        </w:tc>
        <w:tc>
          <w:tcPr/>
          <w:p>
            <w:pPr>
              <w:pStyle w:val="Compact"/>
            </w:pPr>
            <w:r>
              <w:t xml:space="preserve">dưới 1.500</w:t>
            </w:r>
          </w:p>
        </w:tc>
      </w:tr>
      <w:tr>
        <w:tc>
          <w:tcPr/>
          <w:p>
            <w:pPr>
              <w:pStyle w:val="Compact"/>
            </w:pPr>
            <w:r>
              <w:t xml:space="preserve">Giới hạn nhân sự</w:t>
            </w:r>
          </w:p>
        </w:tc>
        <w:tc>
          <w:tcPr/>
          <w:p>
            <w:pPr>
              <w:pStyle w:val="Compact"/>
            </w:pPr>
            <w:r>
              <w:t xml:space="preserve">dưới 5</w:t>
            </w:r>
          </w:p>
        </w:tc>
        <w:tc>
          <w:tcPr/>
          <w:p>
            <w:pPr>
              <w:pStyle w:val="Compact"/>
            </w:pPr>
            <w:r>
              <w:t xml:space="preserve">dưới 20</w:t>
            </w:r>
          </w:p>
        </w:tc>
        <w:tc>
          <w:tcPr/>
          <w:p>
            <w:pPr>
              <w:pStyle w:val="Compact"/>
            </w:pPr>
            <w:r>
              <w:t xml:space="preserve">dưới 35</w:t>
            </w:r>
          </w:p>
        </w:tc>
      </w:tr>
      <w:tr>
        <w:tc>
          <w:tcPr/>
          <w:p>
            <w:pPr>
              <w:pStyle w:val="Compact"/>
            </w:pPr>
            <w:r>
              <w:t xml:space="preserve">Ghi sổ kế toán</w:t>
            </w:r>
          </w:p>
        </w:tc>
        <w:tc>
          <w:tcPr/>
          <w:p>
            <w:pPr>
              <w:pStyle w:val="Compact"/>
            </w:pPr>
            <w:r>
              <w:t xml:space="preserve">Có</w:t>
            </w:r>
          </w:p>
        </w:tc>
        <w:tc>
          <w:tcPr/>
          <w:p>
            <w:pPr>
              <w:pStyle w:val="Compact"/>
            </w:pPr>
            <w:r>
              <w:t xml:space="preserve">Có</w:t>
            </w:r>
          </w:p>
        </w:tc>
        <w:tc>
          <w:tcPr/>
          <w:p>
            <w:pPr>
              <w:pStyle w:val="Compact"/>
            </w:pPr>
            <w:r>
              <w:t xml:space="preserve">Có</w:t>
            </w:r>
          </w:p>
        </w:tc>
      </w:tr>
      <w:tr>
        <w:tc>
          <w:tcPr/>
          <w:p>
            <w:pPr>
              <w:pStyle w:val="Compact"/>
            </w:pPr>
            <w:r>
              <w:t xml:space="preserve">Kê khai thuế định kỳ</w:t>
            </w:r>
          </w:p>
        </w:tc>
        <w:tc>
          <w:tcPr/>
          <w:p>
            <w:pPr>
              <w:pStyle w:val="Compact"/>
            </w:pPr>
            <w:r>
              <w:t xml:space="preserve">Có</w:t>
            </w:r>
          </w:p>
        </w:tc>
        <w:tc>
          <w:tcPr/>
          <w:p>
            <w:pPr>
              <w:pStyle w:val="Compact"/>
            </w:pPr>
            <w:r>
              <w:t xml:space="preserve">Có</w:t>
            </w:r>
          </w:p>
        </w:tc>
        <w:tc>
          <w:tcPr/>
          <w:p>
            <w:pPr>
              <w:pStyle w:val="Compact"/>
            </w:pPr>
            <w:r>
              <w:t xml:space="preserve">Có</w:t>
            </w:r>
          </w:p>
        </w:tc>
      </w:tr>
      <w:tr>
        <w:tc>
          <w:tcPr/>
          <w:p>
            <w:pPr>
              <w:pStyle w:val="Compact"/>
            </w:pPr>
            <w:r>
              <w:t xml:space="preserve">Bảng lương và bảo hiểm xã hội</w:t>
            </w:r>
          </w:p>
        </w:tc>
        <w:tc>
          <w:tcPr/>
          <w:p>
            <w:pPr>
              <w:pStyle w:val="Compact"/>
            </w:pPr>
            <w:r>
              <w:t xml:space="preserve">Có</w:t>
            </w:r>
          </w:p>
        </w:tc>
        <w:tc>
          <w:tcPr/>
          <w:p>
            <w:pPr>
              <w:pStyle w:val="Compact"/>
            </w:pPr>
            <w:r>
              <w:t xml:space="preserve">Có</w:t>
            </w:r>
          </w:p>
        </w:tc>
        <w:tc>
          <w:tcPr/>
          <w:p>
            <w:pPr>
              <w:pStyle w:val="Compact"/>
            </w:pPr>
            <w:r>
              <w:t xml:space="preserve">Có</w:t>
            </w:r>
          </w:p>
        </w:tc>
      </w:tr>
      <w:tr>
        <w:tc>
          <w:tcPr/>
          <w:p>
            <w:pPr>
              <w:pStyle w:val="Compact"/>
            </w:pPr>
            <w:r>
              <w:t xml:space="preserve">Thiết lập hóa đơn điện tử (không gồm xuất hóa đơn)</w:t>
            </w:r>
          </w:p>
        </w:tc>
        <w:tc>
          <w:tcPr/>
          <w:p>
            <w:pPr>
              <w:pStyle w:val="Compact"/>
            </w:pPr>
            <w:r>
              <w:t xml:space="preserve">Có</w:t>
            </w:r>
          </w:p>
        </w:tc>
        <w:tc>
          <w:tcPr/>
          <w:p>
            <w:pPr>
              <w:pStyle w:val="Compact"/>
            </w:pPr>
            <w:r>
              <w:t xml:space="preserve">Có</w:t>
            </w:r>
          </w:p>
        </w:tc>
        <w:tc>
          <w:tcPr/>
          <w:p>
            <w:pPr>
              <w:pStyle w:val="Compact"/>
            </w:pPr>
            <w:r>
              <w:t xml:space="preserve">Có</w:t>
            </w:r>
          </w:p>
        </w:tc>
      </w:tr>
      <w:tr>
        <w:tc>
          <w:tcPr/>
          <w:p>
            <w:pPr>
              <w:pStyle w:val="Compact"/>
            </w:pPr>
            <w:r>
              <w:t xml:space="preserve">Truy cập nền tảng biểu mẫu</w:t>
            </w:r>
          </w:p>
        </w:tc>
        <w:tc>
          <w:tcPr/>
          <w:p>
            <w:pPr>
              <w:pStyle w:val="Compact"/>
            </w:pPr>
            <w:r>
              <w:t xml:space="preserve">Có</w:t>
            </w:r>
          </w:p>
        </w:tc>
        <w:tc>
          <w:tcPr/>
          <w:p>
            <w:pPr>
              <w:pStyle w:val="Compact"/>
            </w:pPr>
            <w:r>
              <w:t xml:space="preserve">Có</w:t>
            </w:r>
          </w:p>
        </w:tc>
        <w:tc>
          <w:tcPr/>
          <w:p>
            <w:pPr>
              <w:pStyle w:val="Compact"/>
            </w:pPr>
            <w:r>
              <w:t xml:space="preserve">Có</w:t>
            </w:r>
          </w:p>
        </w:tc>
      </w:tr>
      <w:tr>
        <w:tc>
          <w:tcPr/>
          <w:p>
            <w:pPr>
              <w:pStyle w:val="Compact"/>
            </w:pPr>
            <w:r>
              <w:t xml:space="preserve">Rà soát hợp đồng mỗi tháng</w:t>
            </w:r>
          </w:p>
        </w:tc>
        <w:tc>
          <w:tcPr/>
          <w:p>
            <w:pPr>
              <w:pStyle w:val="Compact"/>
            </w:pPr>
            <w:r>
              <w:t xml:space="preserve">Không</w:t>
            </w:r>
          </w:p>
        </w:tc>
        <w:tc>
          <w:tcPr/>
          <w:p>
            <w:pPr>
              <w:pStyle w:val="Compact"/>
            </w:pPr>
            <w:r>
              <w:t xml:space="preserve">2 lượt</w:t>
            </w:r>
          </w:p>
        </w:tc>
        <w:tc>
          <w:tcPr/>
          <w:p>
            <w:pPr>
              <w:pStyle w:val="Compact"/>
            </w:pPr>
            <w:r>
              <w:t xml:space="preserve">3 lượt</w:t>
            </w:r>
          </w:p>
        </w:tc>
      </w:tr>
      <w:tr>
        <w:tc>
          <w:tcPr/>
          <w:p>
            <w:pPr>
              <w:pStyle w:val="Compact"/>
            </w:pPr>
            <w:r>
              <w:t xml:space="preserve">Tư vấn pháp lý và thuế mỗi tháng</w:t>
            </w:r>
          </w:p>
        </w:tc>
        <w:tc>
          <w:tcPr/>
          <w:p>
            <w:pPr>
              <w:pStyle w:val="Compact"/>
            </w:pPr>
            <w:r>
              <w:t xml:space="preserve">Không</w:t>
            </w:r>
          </w:p>
        </w:tc>
        <w:tc>
          <w:tcPr/>
          <w:p>
            <w:pPr>
              <w:pStyle w:val="Compact"/>
            </w:pPr>
            <w:r>
              <w:t xml:space="preserve">Không</w:t>
            </w:r>
          </w:p>
        </w:tc>
        <w:tc>
          <w:tcPr/>
          <w:p>
            <w:pPr>
              <w:pStyle w:val="Compact"/>
            </w:pPr>
            <w:r>
              <w:t xml:space="preserve">1 giờ</w:t>
            </w:r>
          </w:p>
        </w:tc>
      </w:tr>
    </w:tbl>
    <w:p>
      <w:pPr>
        <w:pStyle w:val="BodyText"/>
      </w:pPr>
      <w:r>
        <w:t xml:space="preserve">Khi doanh nghiệp vượt ngưỡng giao dịch hoặc nhân sự của gói, oBacker chủ động đề xuất nâng gói.</w:t>
      </w:r>
    </w:p>
    <w:bookmarkEnd w:id="12"/>
    <w:bookmarkStart w:id="13" w:name="lộ-trình-năm-tuần-đầu-tiên"/>
    <w:p>
      <w:pPr>
        <w:pStyle w:val="Heading2"/>
      </w:pPr>
      <w:r>
        <w:t xml:space="preserve">4. Lộ trình năm tuần đầu tiên</w:t>
      </w:r>
    </w:p>
    <w:p>
      <w:pPr>
        <w:pStyle w:val="FirstParagraph"/>
      </w:pPr>
      <w:r>
        <w:rPr>
          <w:b/>
          <w:bCs/>
        </w:rPr>
        <w:t xml:space="preserve">Tuần 1 (Ngày 1-7): Khởi động và thu thập thông tin</w:t>
      </w:r>
    </w:p>
    <w:p>
      <w:pPr>
        <w:pStyle w:val="Compact"/>
        <w:numPr>
          <w:ilvl w:val="0"/>
          <w:numId w:val="1002"/>
        </w:numPr>
      </w:pPr>
      <w:r>
        <w:rPr>
          <w:i/>
          <w:iCs/>
        </w:rPr>
        <w:t xml:space="preserve">oBacker thực hiện:</w:t>
      </w:r>
      <w:r>
        <w:t xml:space="preserve"> </w:t>
      </w:r>
      <w:r>
        <w:t xml:space="preserve">gửi thư chào mừng kèm danh mục hồ sơ yêu cầu; sắp xếp buổi họp khởi động (45-60 phút) với người phụ trách tài khoản; tạo thư mục chia sẻ trên Google Drive; cấp tài khoản truy cập nền tảng biểu mẫu.</w:t>
      </w:r>
    </w:p>
    <w:p>
      <w:pPr>
        <w:pStyle w:val="Compact"/>
        <w:numPr>
          <w:ilvl w:val="0"/>
          <w:numId w:val="1002"/>
        </w:numPr>
      </w:pPr>
      <w:r>
        <w:rPr>
          <w:i/>
          <w:iCs/>
        </w:rPr>
        <w:t xml:space="preserve">Quý Khách thực hiện:</w:t>
      </w:r>
      <w:r>
        <w:t xml:space="preserve"> </w:t>
      </w:r>
      <w:r>
        <w:t xml:space="preserve">xác nhận một đầu mối chính và một người dự phòng (bắt buộc); cung cấp thông tin công ty (ERC/IRC, MST, địa chỉ, ngành nghề, người đại diện theo pháp luật); cung cấp hồ sơ theo danh mục; cấp quyền xem hóa đơn điện tử; cung cấp tài khoản đăng nhập các hệ thống dịch vụ công, thuế điện tử, hóa đơn điện tử và bảo hiểm xã hội theo yêu cầu.</w:t>
      </w:r>
    </w:p>
    <w:p>
      <w:pPr>
        <w:pStyle w:val="FirstParagraph"/>
      </w:pPr>
      <w:r>
        <w:rPr>
          <w:b/>
          <w:bCs/>
        </w:rPr>
        <w:t xml:space="preserve">Tuần 2 (Ngày 8-14): Bàn giao và thiết lập hệ thống</w:t>
      </w:r>
    </w:p>
    <w:p>
      <w:pPr>
        <w:pStyle w:val="Compact"/>
        <w:numPr>
          <w:ilvl w:val="0"/>
          <w:numId w:val="1003"/>
        </w:numPr>
      </w:pPr>
      <w:r>
        <w:rPr>
          <w:i/>
          <w:iCs/>
        </w:rPr>
        <w:t xml:space="preserve">oBacker thực hiện:</w:t>
      </w:r>
      <w:r>
        <w:t xml:space="preserve"> </w:t>
      </w:r>
      <w:r>
        <w:t xml:space="preserve">tiếp nhận bàn giao từ đơn vị kế toán cũ (nếu có); thiết lập hệ thống kế toán.</w:t>
      </w:r>
    </w:p>
    <w:p>
      <w:pPr>
        <w:pStyle w:val="Compact"/>
        <w:numPr>
          <w:ilvl w:val="0"/>
          <w:numId w:val="1003"/>
        </w:numPr>
      </w:pPr>
      <w:r>
        <w:rPr>
          <w:i/>
          <w:iCs/>
        </w:rPr>
        <w:t xml:space="preserve">Quý Khách thực hiện:</w:t>
      </w:r>
      <w:r>
        <w:t xml:space="preserve"> </w:t>
      </w:r>
      <w:r>
        <w:t xml:space="preserve">giới thiệu oBacker với đơn vị kế toán cũ; ký Hợp Đồng dịch vụ và gửi bản cứng về văn phòng oBacker; ký giấy ủy quyền làm việc với cơ quan thuế và bảo hiểm xã hội.</w:t>
      </w:r>
    </w:p>
    <w:p>
      <w:pPr>
        <w:pStyle w:val="FirstParagraph"/>
      </w:pPr>
      <w:r>
        <w:rPr>
          <w:b/>
          <w:bCs/>
        </w:rPr>
        <w:t xml:space="preserve">Tuần 3-4 (Ngày 15-30): Vận hành</w:t>
      </w:r>
    </w:p>
    <w:p>
      <w:pPr>
        <w:pStyle w:val="Compact"/>
        <w:numPr>
          <w:ilvl w:val="0"/>
          <w:numId w:val="1004"/>
        </w:numPr>
      </w:pPr>
      <w:r>
        <w:rPr>
          <w:i/>
          <w:iCs/>
        </w:rPr>
        <w:t xml:space="preserve">oBacker thực hiện:</w:t>
      </w:r>
      <w:r>
        <w:t xml:space="preserve"> </w:t>
      </w:r>
      <w:r>
        <w:t xml:space="preserve">bắt đầu ghi sổ kế toán; chạy bảng lương đầu tiên nếu đến kỳ; xử lý biến động bảo hiểm xã hội (nếu có).</w:t>
      </w:r>
    </w:p>
    <w:p>
      <w:pPr>
        <w:pStyle w:val="Compact"/>
        <w:numPr>
          <w:ilvl w:val="0"/>
          <w:numId w:val="1004"/>
        </w:numPr>
      </w:pPr>
      <w:r>
        <w:rPr>
          <w:i/>
          <w:iCs/>
        </w:rPr>
        <w:t xml:space="preserve">Quý Khách thực hiện:</w:t>
      </w:r>
      <w:r>
        <w:t xml:space="preserve"> </w:t>
      </w:r>
      <w:r>
        <w:t xml:space="preserve">gửi hóa đơn đầu vào và sao kê ngân hàng trong năm ngày đầu của tháng kế tiếp; thông báo biến động nhân sự ngay khi phát sinh.</w:t>
      </w:r>
    </w:p>
    <w:p>
      <w:pPr>
        <w:pStyle w:val="FirstParagraph"/>
      </w:pPr>
      <w:r>
        <w:rPr>
          <w:b/>
          <w:bCs/>
        </w:rPr>
        <w:t xml:space="preserve">Tuần 5 (Ngày 31-37): Báo cáo và rà soát</w:t>
      </w:r>
    </w:p>
    <w:p>
      <w:pPr>
        <w:pStyle w:val="Compact"/>
        <w:numPr>
          <w:ilvl w:val="0"/>
          <w:numId w:val="1005"/>
        </w:numPr>
      </w:pPr>
      <w:r>
        <w:rPr>
          <w:i/>
          <w:iCs/>
        </w:rPr>
        <w:t xml:space="preserve">oBacker thực hiện:</w:t>
      </w:r>
      <w:r>
        <w:t xml:space="preserve"> </w:t>
      </w:r>
      <w:r>
        <w:t xml:space="preserve">phát hành báo cáo tài chính nội bộ tháng đầu; phát hành phiếu lương tháng đầu; sắp xếp buổi họp rà soát cuối tháng.</w:t>
      </w:r>
    </w:p>
    <w:p>
      <w:pPr>
        <w:pStyle w:val="Compact"/>
        <w:numPr>
          <w:ilvl w:val="0"/>
          <w:numId w:val="1005"/>
        </w:numPr>
      </w:pPr>
      <w:r>
        <w:rPr>
          <w:i/>
          <w:iCs/>
        </w:rPr>
        <w:t xml:space="preserve">Quý Khách thực hiện:</w:t>
      </w:r>
      <w:r>
        <w:t xml:space="preserve"> </w:t>
      </w:r>
      <w:r>
        <w:t xml:space="preserve">xem lại báo cáo trong ba ngày làm việc; góp ý về quy trình phối hợp.</w:t>
      </w:r>
    </w:p>
    <w:bookmarkEnd w:id="13"/>
    <w:bookmarkStart w:id="14" w:name="Xdd3b6a2685953462a83deb8bd944cadfc90095d"/>
    <w:p>
      <w:pPr>
        <w:pStyle w:val="Heading2"/>
      </w:pPr>
      <w:r>
        <w:t xml:space="preserve">5. Những nguyên tắc thuế; kế toán cơ bản Quý Khách cần biết</w:t>
      </w:r>
    </w:p>
    <w:p>
      <w:pPr>
        <w:pStyle w:val="FirstParagraph"/>
      </w:pPr>
      <w:r>
        <w:t xml:space="preserve">Phần này tổng hợp các nguyên tắc tuân thủ cơ bản mà mọi doanh nghiệp hoạt động hợp pháp tại Việt Nam đều phải thực hiện, không phụ thuộc vào việc có sử dụng dịch vụ của oBacker hay không.</w:t>
      </w:r>
    </w:p>
    <w:p>
      <w:pPr>
        <w:pStyle w:val="BodyText"/>
      </w:pPr>
      <w:r>
        <w:rPr>
          <w:b/>
          <w:bCs/>
        </w:rPr>
        <w:t xml:space="preserve">5.1. Có doanh nghiệp là phải nộp báo cáo, kể cả khi chưa phát sinh hoạt động.</w:t>
      </w:r>
      <w:r>
        <w:t xml:space="preserve"> </w:t>
      </w:r>
      <w:r>
        <w:t xml:space="preserve">Ngay khi được cấp ERC, nghĩa vụ kê khai đã bắt đầu:</w:t>
      </w:r>
    </w:p>
    <w:p>
      <w:pPr>
        <w:pStyle w:val="Compact"/>
        <w:numPr>
          <w:ilvl w:val="0"/>
          <w:numId w:val="1006"/>
        </w:numPr>
      </w:pPr>
      <w:r>
        <w:t xml:space="preserve">Tờ khai thuế giá trị gia tăng (tháng hoặc quý): vẫn phải nộp tờ khai trống (số liệu bằng 0) đúng hạn.</w:t>
      </w:r>
    </w:p>
    <w:p>
      <w:pPr>
        <w:pStyle w:val="Compact"/>
        <w:numPr>
          <w:ilvl w:val="0"/>
          <w:numId w:val="1006"/>
        </w:numPr>
      </w:pPr>
      <w:r>
        <w:t xml:space="preserve">Tờ khai thuế thu nhập cá nhân: không bắt buộc nộp nếu không chi trả thu nhập cho cá nhân nào; tuy nhiên oBacker khuyến khích nộp để tránh bị phạt nộp trễ khi sau này phải khai bổ sung.</w:t>
      </w:r>
    </w:p>
    <w:p>
      <w:pPr>
        <w:pStyle w:val="Compact"/>
        <w:numPr>
          <w:ilvl w:val="0"/>
          <w:numId w:val="1006"/>
        </w:numPr>
      </w:pPr>
      <w:r>
        <w:t xml:space="preserve">Quyết toán thuế thu nhập doanh nghiệp và báo cáo tài chính năm: bắt buộc nộp dù không có giao dịch.</w:t>
      </w:r>
    </w:p>
    <w:p>
      <w:pPr>
        <w:pStyle w:val="FirstParagraph"/>
      </w:pPr>
      <w:r>
        <w:rPr>
          <w:i/>
          <w:iCs/>
        </w:rPr>
        <w:t xml:space="preserve">Hậu quả khi không nộp đúng hạn:</w:t>
      </w:r>
      <w:r>
        <w:t xml:space="preserve"> </w:t>
      </w:r>
      <w:r>
        <w:t xml:space="preserve">xử phạt hành chính theo Nghị định 125/2020/NĐ-CP, có thể bị cưỡng chế bằng biện pháp khóa mã số thuế hoặc phong tỏa tài khoản ngân hàng.</w:t>
      </w:r>
    </w:p>
    <w:p>
      <w:pPr>
        <w:pStyle w:val="BodyText"/>
      </w:pPr>
      <w:r>
        <w:rPr>
          <w:b/>
          <w:bCs/>
        </w:rPr>
        <w:t xml:space="preserve">5.2. Mọi khoản chi phải có hợp đồng và chứng từ hợp lệ.</w:t>
      </w:r>
      <w:r>
        <w:t xml:space="preserve"> </w:t>
      </w:r>
      <w:r>
        <w:t xml:space="preserve">Để được trừ khi tính thuế thu nhập doanh nghiệp, khoản chi phải đồng thời: liên quan đến hoạt động sản xuất kinh doanh; có hóa đơn, chứng từ hợp pháp; và có chứng từ thanh toán không dùng tiền mặt đối với khoản chi từ 5 triệu đồng trở lên.</w:t>
      </w:r>
    </w:p>
    <w:p>
      <w:pPr>
        <w:pStyle w:val="BodyText"/>
      </w:pPr>
      <w:r>
        <w:rPr>
          <w:b/>
          <w:bCs/>
        </w:rPr>
        <w:t xml:space="preserve">5.3. Khoản chi cho cá nhân.</w:t>
      </w:r>
      <w:r>
        <w:t xml:space="preserve"> </w:t>
      </w:r>
      <w:r>
        <w:t xml:space="preserve">Mọi khoản chi cho cá nhân (kể cả người không phải nhân viên chính thức) đều cần hợp đồng phù hợp (hợp đồng lao động, hợp đồng dịch vụ, hợp đồng cộng tác viên, hợp đồng thuê tài sản), chứng từ thanh toán, và khấu trừ; kê khai thuế thu nhập cá nhân theo đúng tính chất khoản chi:</w:t>
      </w:r>
    </w:p>
    <w:p>
      <w:pPr>
        <w:pStyle w:val="Compact"/>
        <w:numPr>
          <w:ilvl w:val="0"/>
          <w:numId w:val="1007"/>
        </w:numPr>
      </w:pPr>
      <w:r>
        <w:t xml:space="preserve">Lương, thưởng theo hợp đồng lao động: khấu trừ theo biểu lũy tiến từng phần.</w:t>
      </w:r>
    </w:p>
    <w:p>
      <w:pPr>
        <w:pStyle w:val="Compact"/>
        <w:numPr>
          <w:ilvl w:val="0"/>
          <w:numId w:val="1007"/>
        </w:numPr>
      </w:pPr>
      <w:r>
        <w:t xml:space="preserve">Thu nhập vãng lai theo hợp đồng dịch vụ hoặc cộng tác viên: khấu trừ 10% nếu khoản chi từ 2 triệu đồng mỗi lần.</w:t>
      </w:r>
    </w:p>
    <w:p>
      <w:pPr>
        <w:pStyle w:val="Compact"/>
        <w:numPr>
          <w:ilvl w:val="0"/>
          <w:numId w:val="1007"/>
        </w:numPr>
      </w:pPr>
      <w:r>
        <w:t xml:space="preserve">Thuê tài sản cá nhân (nhà, xe…): kê khai trong mọi trường hợp; khấu trừ thuế giá trị gia tăng 5% và thuế thu nhập cá nhân 5% trên phần doanh thu cho thuê vượt mức doanh thu không chịu thuế theo quy định.</w:t>
      </w:r>
    </w:p>
    <w:p>
      <w:pPr>
        <w:pStyle w:val="FirstParagraph"/>
      </w:pPr>
      <w:r>
        <w:t xml:space="preserve">Nếu chi cho cá nhân mà không có hợp đồng hoặc không khấu trừ thuế thu nhập cá nhân, khoản chi đó bị loại khỏi chi phí được trừ, đồng thời doanh nghiệp bị truy thu thuế thu nhập cá nhân kèm tiền phạt và tiền chậm nộp.</w:t>
      </w:r>
    </w:p>
    <w:p>
      <w:pPr>
        <w:pStyle w:val="BodyText"/>
      </w:pPr>
      <w:r>
        <w:rPr>
          <w:b/>
          <w:bCs/>
        </w:rPr>
        <w:t xml:space="preserve">5.4. Sử dụng lao động dài hạn phải đăng ký bảo hiểm xã hội.</w:t>
      </w:r>
      <w:r>
        <w:t xml:space="preserve"> </w:t>
      </w:r>
      <w:r>
        <w:t xml:space="preserve">Theo Bộ luật Lao động 2019 và Luật Bảo hiểm xã hội số 41/2024/QH15 (hiệu lực từ ngày 01/07/2025):</w:t>
      </w:r>
    </w:p>
    <w:p>
      <w:pPr>
        <w:pStyle w:val="Compact"/>
        <w:numPr>
          <w:ilvl w:val="0"/>
          <w:numId w:val="1008"/>
        </w:numPr>
      </w:pPr>
      <w:r>
        <w:t xml:space="preserve">Hợp đồng lao động từ đủ một tháng trở lên: bắt buộc tham gia bảo hiểm xã hội, bảo hiểm y tế và bảo hiểm thất nghiệp.</w:t>
      </w:r>
    </w:p>
    <w:p>
      <w:pPr>
        <w:pStyle w:val="Compact"/>
        <w:numPr>
          <w:ilvl w:val="0"/>
          <w:numId w:val="1008"/>
        </w:numPr>
      </w:pPr>
      <w:r>
        <w:t xml:space="preserve">Cộng tác viên hoặc người làm việc tự do nhưng làm việc thường xuyên, có tính chất lao động: cơ quan bảo hiểm xã hội có quyền truy thu nếu kiểm tra xác định đây thực chất là quan hệ lao động.</w:t>
      </w:r>
    </w:p>
    <w:p>
      <w:pPr>
        <w:pStyle w:val="Compact"/>
        <w:numPr>
          <w:ilvl w:val="0"/>
          <w:numId w:val="1008"/>
        </w:numPr>
      </w:pPr>
      <w:r>
        <w:t xml:space="preserve">Người lao động nước ngoài có giấy phép lao động từ một năm trở lên: bắt buộc tham gia bảo hiểm xã hội, trừ trường hợp được miễn theo hiệp định song phương.</w:t>
      </w:r>
    </w:p>
    <w:p>
      <w:pPr>
        <w:pStyle w:val="FirstParagraph"/>
      </w:pPr>
      <w:r>
        <w:rPr>
          <w:i/>
          <w:iCs/>
        </w:rPr>
        <w:t xml:space="preserve">Hậu quả khi không đóng bảo hiểm cho người đủ điều kiện:</w:t>
      </w:r>
      <w:r>
        <w:t xml:space="preserve"> </w:t>
      </w:r>
      <w:r>
        <w:t xml:space="preserve">truy thu toàn bộ số tiền chưa đóng; xử phạt từ 12% đến 15% số tiền chưa đóng theo Nghị định 12/2022/NĐ-CP; bồi thường cho người lao động khi xảy ra ốm đau, tai nạn hoặc thai sản.</w:t>
      </w:r>
    </w:p>
    <w:p>
      <w:pPr>
        <w:pStyle w:val="BodyText"/>
      </w:pPr>
      <w:r>
        <w:rPr>
          <w:i/>
          <w:iCs/>
        </w:rPr>
        <w:t xml:space="preserve">Khuyến nghị:</w:t>
      </w:r>
      <w:r>
        <w:t xml:space="preserve"> </w:t>
      </w:r>
      <w:r>
        <w:t xml:space="preserve">nếu doanh nghiệp sử dụng cộng tác viên cùng một người liên tục trên một tháng với khối lượng công việc đều đặn, chuyển sang hợp đồng lao động chính thức giúp tránh rủi ro.</w:t>
      </w:r>
    </w:p>
    <w:p>
      <w:pPr>
        <w:pStyle w:val="BodyText"/>
      </w:pPr>
      <w:r>
        <w:rPr>
          <w:b/>
          <w:bCs/>
        </w:rPr>
        <w:t xml:space="preserve">5.5. Khi nào doanh nghiệp phải xuất hóa đơn.</w:t>
      </w:r>
      <w:r>
        <w:t xml:space="preserve"> </w:t>
      </w:r>
      <w:r>
        <w:t xml:space="preserve">Theo Nghị định 254/2026/NĐ-CP và Thông tư 91/2026/TT-BTC, doanh nghiệp bắt buộc xuất hóa đơn điện tử khi: bán hàng hoặc cung cấp dịch vụ (xuất ngay tại thời điểm chuyển giao hoặc hoàn thành, không phụ thuộc đã thu tiền hay chưa); nhận tiền ứng trước hoặc đặt cọc cho dịch vụ; cho, biếu, tặng, trao đổi hoặc trả thay lương; cho vay, mượn, hoàn trả; và tiêu dùng nội bộ.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Tình huống</w:t>
            </w:r>
          </w:p>
        </w:tc>
        <w:tc>
          <w:tcPr/>
          <w:p>
            <w:pPr>
              <w:pStyle w:val="Compact"/>
            </w:pPr>
            <w:r>
              <w:t xml:space="preserve">Hiểu nhầm</w:t>
            </w:r>
          </w:p>
        </w:tc>
        <w:tc>
          <w:tcPr/>
          <w:p>
            <w:pPr>
              <w:pStyle w:val="Compact"/>
            </w:pPr>
            <w:r>
              <w:t xml:space="preserve">Đúng</w:t>
            </w:r>
          </w:p>
        </w:tc>
      </w:tr>
      <w:tr>
        <w:tc>
          <w:tcPr/>
          <w:p>
            <w:pPr>
              <w:pStyle w:val="Compact"/>
            </w:pPr>
            <w:r>
              <w:t xml:space="preserve">Khách mua lẻ không lấy hóa đơn</w:t>
            </w:r>
          </w:p>
        </w:tc>
        <w:tc>
          <w:tcPr/>
          <w:p>
            <w:pPr>
              <w:pStyle w:val="Compact"/>
            </w:pPr>
            <w:r>
              <w:t xml:space="preserve">“Không cần xuất”</w:t>
            </w:r>
          </w:p>
        </w:tc>
        <w:tc>
          <w:tcPr/>
          <w:p>
            <w:pPr>
              <w:pStyle w:val="Compact"/>
            </w:pPr>
            <w:r>
              <w:t xml:space="preserve">Vẫn phải xuất</w:t>
            </w:r>
          </w:p>
        </w:tc>
      </w:tr>
      <w:tr>
        <w:tc>
          <w:tcPr/>
          <w:p>
            <w:pPr>
              <w:pStyle w:val="Compact"/>
            </w:pPr>
            <w:r>
              <w:t xml:space="preserve">Giao dịch dưới 200.000đ</w:t>
            </w:r>
          </w:p>
        </w:tc>
        <w:tc>
          <w:tcPr/>
          <w:p>
            <w:pPr>
              <w:pStyle w:val="Compact"/>
            </w:pPr>
            <w:r>
              <w:t xml:space="preserve">“Không cần xuất từng giao dịch”</w:t>
            </w:r>
          </w:p>
        </w:tc>
        <w:tc>
          <w:tcPr/>
          <w:p>
            <w:pPr>
              <w:pStyle w:val="Compact"/>
            </w:pPr>
            <w:r>
              <w:t xml:space="preserve">Vẫn phải xuất lẻ từng giao dịch</w:t>
            </w:r>
          </w:p>
        </w:tc>
      </w:tr>
      <w:tr>
        <w:tc>
          <w:tcPr/>
          <w:p>
            <w:pPr>
              <w:pStyle w:val="Compact"/>
            </w:pPr>
            <w:r>
              <w:t xml:space="preserve">Khách chưa thanh toán</w:t>
            </w:r>
          </w:p>
        </w:tc>
        <w:tc>
          <w:tcPr/>
          <w:p>
            <w:pPr>
              <w:pStyle w:val="Compact"/>
            </w:pPr>
            <w:r>
              <w:t xml:space="preserve">“Nhận tiền mới xuất”</w:t>
            </w:r>
          </w:p>
        </w:tc>
        <w:tc>
          <w:tcPr/>
          <w:p>
            <w:pPr>
              <w:pStyle w:val="Compact"/>
            </w:pPr>
            <w:r>
              <w:t xml:space="preserve">Phải xuất khi giao hàng hoặc hoàn thành dịch vụ</w:t>
            </w:r>
          </w:p>
        </w:tc>
      </w:tr>
      <w:tr>
        <w:tc>
          <w:tcPr/>
          <w:p>
            <w:pPr>
              <w:pStyle w:val="Compact"/>
            </w:pPr>
            <w:r>
              <w:t xml:space="preserve">Hợp đồng dài hạn</w:t>
            </w:r>
          </w:p>
        </w:tc>
        <w:tc>
          <w:tcPr/>
          <w:p>
            <w:pPr>
              <w:pStyle w:val="Compact"/>
            </w:pPr>
            <w:r>
              <w:t xml:space="preserve">“Cuối hợp đồng xuất một lần”</w:t>
            </w:r>
          </w:p>
        </w:tc>
        <w:tc>
          <w:tcPr/>
          <w:p>
            <w:pPr>
              <w:pStyle w:val="Compact"/>
            </w:pPr>
            <w:r>
              <w:t xml:space="preserve">Xuất theo từng đợt nghiệm thu hoặc khi nhận tiền</w:t>
            </w:r>
          </w:p>
        </w:tc>
      </w:tr>
    </w:tbl>
    <w:p>
      <w:pPr>
        <w:pStyle w:val="BodyText"/>
      </w:pPr>
      <w:r>
        <w:rPr>
          <w:i/>
          <w:iCs/>
        </w:rPr>
        <w:t xml:space="preserve">Hậu quả khi không xuất hoặc xuất sai thời điểm:</w:t>
      </w:r>
      <w:r>
        <w:t xml:space="preserve"> </w:t>
      </w:r>
      <w:r>
        <w:t xml:space="preserve">xử phạt hành chính về hóa đơn theo Nghị định 125/2020/NĐ-CP (mức phạt tùy hành vi và tình tiết, xác định theo điều khoản cụ thể); truy thu thuế giá trị gia tăng và thuế thu nhập doanh nghiệp cho phần doanh thu không xuất hóa đơn; có thể tăng nặng nếu bị xác định là trốn thuế.</w:t>
      </w:r>
    </w:p>
    <w:p>
      <w:pPr>
        <w:pStyle w:val="BodyText"/>
      </w:pPr>
      <w:r>
        <w:rPr>
          <w:b/>
          <w:bCs/>
        </w:rPr>
        <w:t xml:space="preserve">5.6. Thanh toán phần mềm, dịch vụ nước ngoài phải kê khai thuế nhà thầu.</w:t>
      </w:r>
      <w:r>
        <w:t xml:space="preserve"> </w:t>
      </w:r>
      <w:r>
        <w:t xml:space="preserve">Đây là nghĩa vụ thường bị bỏ sót nhất ở doanh nghiệp vừa và nhỏ. Khi doanh nghiệp Việt Nam thanh toán cho nhà cung cấp nước ngoài (không có hiện diện pháp lý tại Việt Nam) để mua phần mềm, dịch vụ, bản quyền, lưu trữ hoặc quảng cáo, doanh nghiệp có nghĩa vụ khấu trừ và nộp thay</w:t>
      </w:r>
      <w:r>
        <w:t xml:space="preserve"> </w:t>
      </w:r>
      <w:r>
        <w:rPr>
          <w:b/>
          <w:bCs/>
        </w:rPr>
        <w:t xml:space="preserve">thuế nhà thầu nước ngoài (FCT)</w:t>
      </w:r>
      <w:r>
        <w:t xml:space="preserve">. Cơ sở pháp lý: Thông tư 103/2014/TT-BTC. Áp dụng với mọi hình thức thanh toán: thẻ tín dụng hoặc thẻ ghi nợ, chuyển khoản quốc tế, cổng thanh toán trung gian, hoặc trừ trực tiếp từ số dư trên nền tảng nước ngoài.</w:t>
      </w:r>
    </w:p>
    <w:p>
      <w:pPr>
        <w:pStyle w:val="BodyText"/>
      </w:pPr>
      <w:r>
        <w:t xml:space="preserve">Các giao dịch điển hình phải kê khai: phần mềm thuê bao (ví dụ công cụ thiết kế, lưu trữ mã nguồn, bộ ứng dụng văn phòng đám mây); quảng cáo trực tuyến; dịch vụ lưu trữ, tên miền, mạng phân phối nội dung nước ngoài; mua bản quyền nội dung, hình ảnh, phông chữ; thuê cá nhân hoặc đơn vị nước ngoài; hoa hồng môi giới trả cho đối tác nước ngoài.</w:t>
      </w:r>
    </w:p>
    <w:p>
      <w:pPr>
        <w:pStyle w:val="BlockText"/>
      </w:pPr>
      <w:r>
        <w:t xml:space="preserve">Mức thuế nhà thầu và việc một nhà cung cấp cụ thể đã kê khai phần nào hay chưa còn tùy loại giao dịch, hợp đồng và thời điểm; oBacker xác định khi xử lý từng trường hợp. Mức tham khảo phổ biến: phần mềm thuê bao trên nền tảng đám mây chịu thuế giá trị gia tăng 10% và thuế thu nhập doanh nghiệp 5%; phần mềm bản quyền không trên nền tảng đám mây chịu thuế thu nhập doanh nghiệp 10% (không chịu thuế giá trị gia tăng); quảng cáo trực tuyến chịu thuế giá trị gia tăng 10% và thuế thu nhập doanh nghiệp 5%.</w:t>
      </w:r>
    </w:p>
    <w:p>
      <w:pPr>
        <w:pStyle w:val="FirstParagraph"/>
      </w:pPr>
      <w:r>
        <w:rPr>
          <w:i/>
          <w:iCs/>
        </w:rPr>
        <w:t xml:space="preserve">Việc Quý Khách cần làm khi phát sinh:</w:t>
      </w:r>
      <w:r>
        <w:t xml:space="preserve"> </w:t>
      </w:r>
      <w:r>
        <w:t xml:space="preserve">thông báo ngay cho oBacker qua ops@obacker.com khi vừa thực hiện giao dịch, kèm hóa đơn hoặc biên nhận, sao kê thẻ hoặc chứng từ thanh toán, và mô tả dịch vụ. Hóa đơn phải ghi đúng mã số thuế và địa chỉ công ty Việt Nam. oBacker sẽ xin mã số thuế nhà thầu (nếu chưa có), kê khai và nộp đúng thời hạn.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Phương thức kê khai</w:t>
            </w:r>
          </w:p>
        </w:tc>
        <w:tc>
          <w:tcPr/>
          <w:p>
            <w:pPr>
              <w:pStyle w:val="Compact"/>
            </w:pPr>
            <w:r>
              <w:t xml:space="preserve">Áp dụng khi</w:t>
            </w:r>
          </w:p>
        </w:tc>
        <w:tc>
          <w:tcPr/>
          <w:p>
            <w:pPr>
              <w:pStyle w:val="Compact"/>
            </w:pPr>
            <w:r>
              <w:t xml:space="preserve">Thời hạn</w:t>
            </w:r>
          </w:p>
        </w:tc>
      </w:tr>
      <w:tr>
        <w:tc>
          <w:tcPr/>
          <w:p>
            <w:pPr>
              <w:pStyle w:val="Compact"/>
            </w:pPr>
            <w:r>
              <w:t xml:space="preserve">Theo tháng</w:t>
            </w:r>
          </w:p>
        </w:tc>
        <w:tc>
          <w:tcPr/>
          <w:p>
            <w:pPr>
              <w:pStyle w:val="Compact"/>
            </w:pPr>
            <w:r>
              <w:t xml:space="preserve">Nhà cung cấp nước ngoài kinh doanh thường xuyên, theo Nghị định 252/2026/NĐ-CP Điều 40 khoản 2 điểm a.1</w:t>
            </w:r>
          </w:p>
        </w:tc>
        <w:tc>
          <w:tcPr/>
          <w:p>
            <w:pPr>
              <w:pStyle w:val="Compact"/>
            </w:pPr>
            <w:r>
              <w:t xml:space="preserve">Ngày 20 của tháng kế tiếp</w:t>
            </w:r>
          </w:p>
        </w:tc>
      </w:tr>
      <w:tr>
        <w:tc>
          <w:tcPr/>
          <w:p>
            <w:pPr>
              <w:pStyle w:val="Compact"/>
            </w:pPr>
            <w:r>
              <w:t xml:space="preserve">Theo từng lần</w:t>
            </w:r>
          </w:p>
        </w:tc>
        <w:tc>
          <w:tcPr/>
          <w:p>
            <w:pPr>
              <w:pStyle w:val="Compact"/>
            </w:pPr>
            <w:r>
              <w:t xml:space="preserve">Nhà cung cấp nước ngoài kinh doanh không thường xuyên, theo Nghị định 252/2026/NĐ-CP Điều 40 khoản 2 điểm a.2</w:t>
            </w:r>
          </w:p>
        </w:tc>
        <w:tc>
          <w:tcPr/>
          <w:p>
            <w:pPr>
              <w:pStyle w:val="Compact"/>
            </w:pPr>
            <w:r>
              <w:t xml:space="preserve">Trong 10 ngày kể từ ngày phát sinh nghĩa vụ</w:t>
            </w:r>
          </w:p>
        </w:tc>
      </w:tr>
    </w:tbl>
    <w:p>
      <w:pPr>
        <w:pStyle w:val="BodyText"/>
      </w:pPr>
      <w:r>
        <w:rPr>
          <w:i/>
          <w:iCs/>
        </w:rPr>
        <w:t xml:space="preserve">Hậu quả khi không kê khai hoặc kê khai chậm:</w:t>
      </w:r>
      <w:r>
        <w:t xml:space="preserve"> </w:t>
      </w:r>
      <w:r>
        <w:t xml:space="preserve">truy thu toàn bộ số thuế chưa nộp; phạt 20% số thuế; tiền chậm nộp 0,03% mỗi ngày; khoản chi mua dịch vụ nước ngoài có thể bị loại khỏi chi phí được trừ. Trên thực tế, nhiều doanh nghiệp bị truy thu khoản lớn sau 3-5 năm khi cơ quan thuế rà soát sao kê ngân hàng và sao kê thẻ.</w:t>
      </w:r>
    </w:p>
    <w:bookmarkEnd w:id="14"/>
    <w:bookmarkStart w:id="15" w:name="dịch-vụ-trong-gói"/>
    <w:p>
      <w:pPr>
        <w:pStyle w:val="Heading2"/>
      </w:pPr>
      <w:r>
        <w:t xml:space="preserve">6. Dịch vụ trong gói</w:t>
      </w:r>
    </w:p>
    <w:p>
      <w:pPr>
        <w:pStyle w:val="FirstParagraph"/>
      </w:pPr>
      <w:r>
        <w:rPr>
          <w:b/>
          <w:bCs/>
        </w:rPr>
        <w:t xml:space="preserve">Kế toán (áp dụng cả ba gói).</w:t>
      </w:r>
      <w:r>
        <w:t xml:space="preserve"> </w:t>
      </w:r>
      <w:r>
        <w:t xml:space="preserve">Ghi sổ theo chứng từ Quý Khách cung cấp; chốt sổ hàng tháng; phát hành báo cáo tài chính nội bộ hàng tháng; lập báo cáo tài chính năm (bảng cân đối kế toán, kết quả hoạt động kinh doanh, lưu chuyển tiền tệ, thuyết minh); nộp báo cáo tài chính đúng hạn.</w:t>
      </w:r>
      <w:r>
        <w:t xml:space="preserve"> </w:t>
      </w:r>
      <w:r>
        <w:rPr>
          <w:i/>
          <w:iCs/>
        </w:rPr>
        <w:t xml:space="preserve">Hồ sơ cần cung cấp trong tháng đầu:</w:t>
      </w:r>
      <w:r>
        <w:t xml:space="preserve"> </w:t>
      </w:r>
      <w:r>
        <w:t xml:space="preserve">ERC; IRC (nếu là doanh nghiệp có vốn đầu tư nước ngoài); điều lệ; báo cáo tài chính năm gần nhất; bảng cân đối số phát sinh; sổ nhật ký chung; danh sách tài sản cố định kèm khấu hao; các hợp đồng đang hiệu lực; sao kê 12 tháng gần nhất của tất cả tài khoản (kèm mật khẩu mở tệp); thông tin đăng nhập hoặc quyền truy cập hệ thống hóa đơn điện tử.</w:t>
      </w:r>
    </w:p>
    <w:p>
      <w:pPr>
        <w:pStyle w:val="BodyText"/>
      </w:pPr>
      <w:r>
        <w:rPr>
          <w:b/>
          <w:bCs/>
        </w:rPr>
        <w:t xml:space="preserve">Thuế (áp dụng cả ba gói).</w:t>
      </w:r>
      <w:r>
        <w:t xml:space="preserve"> </w:t>
      </w:r>
      <w:r>
        <w:t xml:space="preserve">Kê khai và nộp thuế giá trị gia tăng (tháng hoặc quý); tạm nộp và quyết toán thuế thu nhập doanh nghiệp; khấu trừ và quyết toán thuế thu nhập cá nhân; kê khai thuế nhà thầu nước ngoài khi phát sinh; tư vấn tối ưu thuế (chỉ áp dụng gói Scale và Premium).</w:t>
      </w:r>
      <w:r>
        <w:t xml:space="preserve"> </w:t>
      </w:r>
      <w:r>
        <w:rPr>
          <w:i/>
          <w:iCs/>
        </w:rPr>
        <w:t xml:space="preserve">Quy trình phối hợp trước thời hạn nộp (D là ngày đến hạn):</w:t>
      </w:r>
      <w:r>
        <w:t xml:space="preserve"> </w:t>
      </w:r>
      <w:r>
        <w:t xml:space="preserve">D-10, oBacker gửi bản nháp tờ khai; D-7, Quý Khách xác nhận; D-5, oBacker nộp qua hệ thống thuế điện tử; D-3, Quý Khách nộp tiền thuế (nếu có). Quá thời hạn mà Quý Khách không xác nhận thì được xem là đã đồng ý; oBacker nộp trước để bảo đảm đúng hạn; nếu sau đó Quý Khách cần điều chỉnh, mọi chi phí chậm nộp phát sinh do điều chỉnh do Quý Khách chịu.</w:t>
      </w:r>
      <w:r>
        <w:t xml:space="preserve"> </w:t>
      </w:r>
      <w:r>
        <w:rPr>
          <w:i/>
          <w:iCs/>
        </w:rPr>
        <w:t xml:space="preserve">Cam kết của Quý Khách:</w:t>
      </w:r>
      <w:r>
        <w:t xml:space="preserve"> </w:t>
      </w:r>
      <w:r>
        <w:t xml:space="preserve">gửi đủ chứng từ trước ngày 5 hàng tháng; nộp tiền thuế đúng hạn (oBacker chỉ kê khai, không nộp thay tiền, trừ khi có thỏa thuận liên kết tài khoản); không tự ý điều chỉnh tờ khai trên hệ thống thuế mà không thông báo oBacker.</w:t>
      </w:r>
    </w:p>
    <w:p>
      <w:pPr>
        <w:pStyle w:val="BodyText"/>
      </w:pPr>
      <w:r>
        <w:rPr>
          <w:b/>
          <w:bCs/>
        </w:rPr>
        <w:t xml:space="preserve">Nhân sự và bảng lương (áp dụng cả ba gói).</w:t>
      </w:r>
      <w:r>
        <w:t xml:space="preserve"> </w:t>
      </w:r>
      <w:r>
        <w:t xml:space="preserve">Soạn hợp đồng lao động, phụ lục và thỏa thuận bảo mật theo mẫu chuẩn; đăng ký mã số thuế cá nhân và người phụ thuộc; chạy bảng lương hàng tháng và phát hành phiếu lương; đăng ký và điều chỉnh bảo hiểm xã hội, bảo hiểm y tế, bảo hiểm thất nghiệp; xuất chứng từ khấu trừ thuế thu nhập cá nhân; tư vấn nhanh về quy định lương và bảo hiểm.</w:t>
      </w:r>
    </w:p>
    <w:p>
      <w:pPr>
        <w:pStyle w:val="BodyText"/>
      </w:pPr>
      <w:r>
        <w:rPr>
          <w:i/>
          <w:iCs/>
        </w:rPr>
        <w:t xml:space="preserve">Quy trình khi tuyển nhân viên mới:</w:t>
      </w:r>
      <w:r>
        <w:t xml:space="preserve"> </w:t>
      </w:r>
      <w:r>
        <w:t xml:space="preserve">Quý Khách gửi thông tin (họ tên và số căn cước công dân, vị trí, ngày bắt đầu, lương thử việc và lương chính thức, thời gian thử việc, loại hợp đồng, phụ cấp và thưởng); Quý Khách gửi biểu mẫu thông tin cho nhân viên điền; oBacker soạn hợp đồng lao động và thỏa thuận bảo mật; Quý Khách ký với nhân viên; oBacker đăng ký bảo hiểm xã hội, bảo hiểm y tế, bảo hiểm thất nghiệp trong vòng 30 ngày kể từ ngày ký hợp đồng lao động.</w:t>
      </w:r>
    </w:p>
    <w:p>
      <w:pPr>
        <w:pStyle w:val="BodyText"/>
      </w:pPr>
      <w:r>
        <w:rPr>
          <w:i/>
          <w:iCs/>
        </w:rPr>
        <w:t xml:space="preserve">Chu kỳ tính lương (D là ngày chốt công cố định do Quý Khách chọn):</w:t>
      </w:r>
      <w:r>
        <w:t xml:space="preserve"> </w:t>
      </w:r>
      <w:r>
        <w:t xml:space="preserve">ngày D, Quý Khách gửi thông tin biến động (công, phép, làm thêm giờ, thưởng); D+3, oBacker lập phiếu lương và gửi để xem lại; D+4, Quý Khách xem lại và xác nhận; D+5, Quý Khách chi trả lương.</w:t>
      </w:r>
    </w:p>
    <w:p>
      <w:pPr>
        <w:pStyle w:val="BodyText"/>
      </w:pPr>
      <w:r>
        <w:rPr>
          <w:i/>
          <w:iCs/>
        </w:rPr>
        <w:t xml:space="preserve">Biến động nhân sự:</w:t>
      </w:r>
      <w:r>
        <w:t xml:space="preserve"> </w:t>
      </w:r>
      <w:r>
        <w:t xml:space="preserve">Quý Khách thông báo trước ít nhất năm ngày làm việc đối với: tuyển mới, nghỉ việc, tăng hoặc giảm lương, chuyển vị trí hoặc thay đổi hợp đồng, thai sản, nghỉ ốm dài ngày.</w:t>
      </w:r>
    </w:p>
    <w:p>
      <w:pPr>
        <w:pStyle w:val="BlockText"/>
      </w:pPr>
      <w:r>
        <w:rPr>
          <w:b/>
          <w:bCs/>
        </w:rPr>
        <w:t xml:space="preserve">Về việc tính lương:</w:t>
      </w:r>
      <w:r>
        <w:t xml:space="preserve"> </w:t>
      </w:r>
      <w:r>
        <w:t xml:space="preserve">oBacker tính lương theo Khung tính lương chuẩn được hai bên thống nhất trước. Nếu doanh nghiệp có cách tính lương hoặc chấm công phức tạp, tùy biến cao (công thức đặc thù nhiều biến số, cơ chế thưởng theo chỉ tiêu hoặc hoa hồng phức tạp, ca kíp không theo chuẩn), hai bên thống nhất một trong ba phương án: Quý Khách cung cấp sẵn số liệu đã xử lý phần phức tạp; hoặc đơn giản hóa quy tắc để đưa vào Khung; hoặc thực hiện như dịch vụ bổ sung ngoài gói.</w:t>
      </w:r>
    </w:p>
    <w:p>
      <w:pPr>
        <w:pStyle w:val="BlockText"/>
      </w:pPr>
      <w:r>
        <w:rPr>
          <w:b/>
          <w:bCs/>
        </w:rPr>
        <w:t xml:space="preserve">Lưu ý:</w:t>
      </w:r>
      <w:r>
        <w:t xml:space="preserve"> </w:t>
      </w:r>
      <w:r>
        <w:t xml:space="preserve">oBacker không cung cấp dịch vụ chấm dứt lao động, xử lý kỷ luật hoặc giải quyết tranh chấp lao động trong cả ba gói (xem Mục 8).</w:t>
      </w:r>
    </w:p>
    <w:p>
      <w:pPr>
        <w:pStyle w:val="FirstParagraph"/>
      </w:pPr>
      <w:r>
        <w:rPr>
          <w:b/>
          <w:bCs/>
        </w:rPr>
        <w:t xml:space="preserve">Hóa đơn điện tử (áp dụng cả ba gói).</w:t>
      </w:r>
      <w:r>
        <w:t xml:space="preserve"> </w:t>
      </w:r>
      <w:r>
        <w:t xml:space="preserve">Đăng ký và kích hoạt hệ thống hóa đơn điện tử theo Nghị định 254/2026/NĐ-CP và Thông tư 91/2026/TT-BTC; thiết lập ký hiệu mẫu và dải số hóa đơn; tư vấn quy định về hóa đơn điện tử. oBacker không xuất hóa đơn bán ra thay Quý Khách; Quý Khách tự xuất trên phần mềm đã được thiết lập. Nếu muốn oBacker xuất thay, đây là dịch vụ bổ sung ngoài gói, tính phí riêng.</w:t>
      </w:r>
    </w:p>
    <w:p>
      <w:pPr>
        <w:pStyle w:val="BodyText"/>
      </w:pPr>
      <w:r>
        <w:rPr>
          <w:b/>
          <w:bCs/>
        </w:rPr>
        <w:t xml:space="preserve">Hỗ trợ pháp lý (phân cấp theo gói).</w:t>
      </w:r>
    </w:p>
    <w:p>
      <w:pPr>
        <w:pStyle w:val="Compact"/>
        <w:numPr>
          <w:ilvl w:val="0"/>
          <w:numId w:val="1009"/>
        </w:numPr>
      </w:pPr>
      <w:r>
        <w:rPr>
          <w:i/>
          <w:iCs/>
        </w:rPr>
        <w:t xml:space="preserve">Starter:</w:t>
      </w:r>
      <w:r>
        <w:t xml:space="preserve"> </w:t>
      </w:r>
      <w:r>
        <w:t xml:space="preserve">truy cập nền tảng biểu mẫu để sử dụng toàn bộ mẫu văn bản và hợp đồng chuẩn hóa; lưu trữ tài liệu điện tử. Không bao gồm rà soát hợp đồng và tư vấn pháp lý (có thể đặt dịch vụ bổ sung).</w:t>
      </w:r>
    </w:p>
    <w:p>
      <w:pPr>
        <w:pStyle w:val="Compact"/>
        <w:numPr>
          <w:ilvl w:val="0"/>
          <w:numId w:val="1009"/>
        </w:numPr>
      </w:pPr>
      <w:r>
        <w:rPr>
          <w:i/>
          <w:iCs/>
        </w:rPr>
        <w:t xml:space="preserve">Scale:</w:t>
      </w:r>
      <w:r>
        <w:t xml:space="preserve"> </w:t>
      </w:r>
      <w:r>
        <w:t xml:space="preserve">như Starter, cộng thêm 2 lượt rà soát hợp đồng mỗi tháng (không tích lũy sang tháng sau) và mức giảm 5% cho các dịch vụ pháp lý ngoài gói.</w:t>
      </w:r>
    </w:p>
    <w:p>
      <w:pPr>
        <w:pStyle w:val="Compact"/>
        <w:numPr>
          <w:ilvl w:val="0"/>
          <w:numId w:val="1009"/>
        </w:numPr>
      </w:pPr>
      <w:r>
        <w:rPr>
          <w:i/>
          <w:iCs/>
        </w:rPr>
        <w:t xml:space="preserve">Premium:</w:t>
      </w:r>
      <w:r>
        <w:t xml:space="preserve"> </w:t>
      </w:r>
      <w:r>
        <w:t xml:space="preserve">như Scale, cộng thêm 3 lượt rà soát hợp đồng mỗi tháng, 1 giờ tư vấn pháp lý và thuế mỗi tháng (không tích lũy), tư vấn tối ưu thuế và mức giảm 10% cho các dịch vụ pháp lý ngoài gói.</w:t>
      </w:r>
    </w:p>
    <w:p>
      <w:pPr>
        <w:pStyle w:val="FirstParagraph"/>
      </w:pPr>
      <w:r>
        <w:rPr>
          <w:i/>
          <w:iCs/>
        </w:rPr>
        <w:t xml:space="preserve">Phạm vi một lượt rà soát hợp đồng:</w:t>
      </w:r>
      <w:r>
        <w:t xml:space="preserve"> </w:t>
      </w:r>
      <w:r>
        <w:t xml:space="preserve">một hợp đồng độ dài tối đa 10 trang (khoảng 3.000-4.000 chữ); kiểm tra rủi ro pháp lý cơ bản và chỉ ra điều khoản bất lợi; một vòng rà soát và một vòng phản hồi; thời gian xử lý ba ngày làm việc. Hợp đồng vượt 10 trang được tính là hai lượt hoặc chuyển sang dịch vụ bổ sung.</w:t>
      </w:r>
      <w:r>
        <w:t xml:space="preserve"> </w:t>
      </w:r>
      <w:r>
        <w:rPr>
          <w:i/>
          <w:iCs/>
        </w:rPr>
        <w:t xml:space="preserve">Quý Khách cần cung cấp:</w:t>
      </w:r>
      <w:r>
        <w:t xml:space="preserve"> </w:t>
      </w:r>
      <w:r>
        <w:t xml:space="preserve">bản hợp đồng (tệp Word hoặc PDF có thể sao chép nội dung), bối cảnh giao dịch, vị thế của Quý Khách và các điều khoản đặc biệt quan tâm.</w:t>
      </w:r>
    </w:p>
    <w:bookmarkEnd w:id="15"/>
    <w:bookmarkStart w:id="16" w:name="dịch-vụ-bổ-sung-ngoài-gói-tính-phí-riêng"/>
    <w:p>
      <w:pPr>
        <w:pStyle w:val="Heading2"/>
      </w:pPr>
      <w:r>
        <w:t xml:space="preserve">7. Dịch vụ bổ sung ngoài gói (tính phí riêng)</w:t>
      </w:r>
    </w:p>
    <w:p>
      <w:pPr>
        <w:pStyle w:val="FirstParagraph"/>
      </w:pPr>
      <w:r>
        <w:t xml:space="preserve">Xuất hóa đơn bán ra thay Quý Khách; rà soát hợp đồng vượt hạn mức của gói (Scale, Premium); tư vấn pháp lý và thuế vượt hạn mức (Premium); soạn hợp đồng mới; soạn thảo các văn bản pháp lý khác (công văn, quyết định, quy chế nội bộ). Mức giảm áp dụng: Scale giảm 5%, Premium giảm 10% cho mọi dịch vụ bổ sung. Quý Khách liên hệ ops@obacker.com để nhận báo giá và phạm vi cụ thể.</w:t>
      </w:r>
    </w:p>
    <w:bookmarkEnd w:id="16"/>
    <w:bookmarkStart w:id="17" w:name="ngoài-phạm-vi-dịch-vụ-của-obacker"/>
    <w:p>
      <w:pPr>
        <w:pStyle w:val="Heading2"/>
      </w:pPr>
      <w:r>
        <w:t xml:space="preserve">8. Ngoài phạm vi dịch vụ của oBacker</w:t>
      </w:r>
    </w:p>
    <w:p>
      <w:pPr>
        <w:pStyle w:val="FirstParagraph"/>
      </w:pPr>
      <w:r>
        <w:t xml:space="preserve">oBacker không cung cấp trong cả ba gói: tranh tụng và giải quyết tranh chấp tại tòa án hoặc trọng tài; mua bán và sáp nhập doanh nghiệp, gọi vốn; xin giấy phép con (giáo dục, y tế, thực phẩm, thương mại điện tử, giấy phép đầu tư mới…); đăng ký và xử lý tranh chấp sở hữu trí tuệ; tái cấu trúc doanh nghiệp (chia, tách, sáp nhập, chuyển đổi loại hình); tìm kiếm và tuyển dụng nhân sự; chấm dứt, kỷ luật và giải quyết tranh chấp lao động; thủ tục cho người lao động nước ngoài (giấy phép lao động, thẻ tạm trú, thị thực); tiếp thị và truyền thông; xuất hóa đơn bán ra thay Quý Khách (trừ khi đặt dịch vụ bổ sung).</w:t>
      </w:r>
    </w:p>
    <w:p>
      <w:pPr>
        <w:pStyle w:val="BodyText"/>
      </w:pPr>
      <w:r>
        <w:t xml:space="preserve">Khi phát sinh nhu cầu thuộc nhóm này, oBacker chủ động thông báo trước và đề xuất giải pháp: giới thiệu đối tác phù hợp, hoặc chào dịch vụ bổ sung trong năng lực của oBacker.</w:t>
      </w:r>
    </w:p>
    <w:bookmarkEnd w:id="17"/>
    <w:bookmarkStart w:id="18" w:name="kênh-liên-lạc"/>
    <w:p>
      <w:pPr>
        <w:pStyle w:val="Heading2"/>
      </w:pPr>
      <w:r>
        <w:t xml:space="preserve">9. Kênh liên lạc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Tình huống</w:t>
            </w:r>
          </w:p>
        </w:tc>
        <w:tc>
          <w:tcPr/>
          <w:p>
            <w:pPr>
              <w:pStyle w:val="Compact"/>
            </w:pPr>
            <w:r>
              <w:t xml:space="preserve">Kênh</w:t>
            </w:r>
          </w:p>
        </w:tc>
        <w:tc>
          <w:tcPr/>
          <w:p>
            <w:pPr>
              <w:pStyle w:val="Compact"/>
            </w:pPr>
            <w:r>
              <w:t xml:space="preserve">Người nhận</w:t>
            </w:r>
          </w:p>
        </w:tc>
      </w:tr>
      <w:tr>
        <w:tc>
          <w:tcPr/>
          <w:p>
            <w:pPr>
              <w:pStyle w:val="Compact"/>
            </w:pPr>
            <w:r>
              <w:t xml:space="preserve">Yêu cầu nghiệp vụ, cung cấp số liệu định kỳ</w:t>
            </w:r>
          </w:p>
        </w:tc>
        <w:tc>
          <w:tcPr/>
          <w:p>
            <w:pPr>
              <w:pStyle w:val="Compact"/>
            </w:pPr>
            <w:r>
              <w:t xml:space="preserve">Trả lời đúng luồng thư điện tử (đồng gửi ops@obacker.com)</w:t>
            </w:r>
          </w:p>
        </w:tc>
        <w:tc>
          <w:tcPr/>
          <w:p>
            <w:pPr>
              <w:pStyle w:val="Compact"/>
            </w:pPr>
            <w:r>
              <w:t xml:space="preserve">Người phụ trách tài khoản</w:t>
            </w:r>
          </w:p>
        </w:tc>
      </w:tr>
      <w:tr>
        <w:tc>
          <w:tcPr/>
          <w:p>
            <w:pPr>
              <w:pStyle w:val="Compact"/>
            </w:pPr>
            <w:r>
              <w:t xml:space="preserve">Câu hỏi trong hạn mức pháp lý (Scale, Premium)</w:t>
            </w:r>
          </w:p>
        </w:tc>
        <w:tc>
          <w:tcPr/>
          <w:p>
            <w:pPr>
              <w:pStyle w:val="Compact"/>
            </w:pPr>
            <w:r>
              <w:t xml:space="preserve">Thư điện tử tới người phụ trách (đồng gửi ops@obacker.com)</w:t>
            </w:r>
          </w:p>
        </w:tc>
        <w:tc>
          <w:tcPr/>
          <w:p>
            <w:pPr>
              <w:pStyle w:val="Compact"/>
            </w:pPr>
            <w:r>
              <w:t xml:space="preserve">Người phụ trách tài khoản</w:t>
            </w:r>
          </w:p>
        </w:tc>
      </w:tr>
      <w:tr>
        <w:tc>
          <w:tcPr/>
          <w:p>
            <w:pPr>
              <w:pStyle w:val="Compact"/>
            </w:pPr>
            <w:r>
              <w:t xml:space="preserve">Vấn đề khẩn cấp</w:t>
            </w:r>
          </w:p>
        </w:tc>
        <w:tc>
          <w:tcPr/>
          <w:p>
            <w:pPr>
              <w:pStyle w:val="Compact"/>
            </w:pPr>
            <w:r>
              <w:t xml:space="preserve">Thư điện tử kèm gọi đường dây nóng 02-888-999-789</w:t>
            </w:r>
          </w:p>
        </w:tc>
        <w:tc>
          <w:tcPr/>
          <w:p>
            <w:pPr>
              <w:pStyle w:val="Compact"/>
            </w:pPr>
            <w:r>
              <w:t xml:space="preserve">Người phụ trách tài khoản</w:t>
            </w:r>
          </w:p>
        </w:tc>
      </w:tr>
      <w:tr>
        <w:tc>
          <w:tcPr/>
          <w:p>
            <w:pPr>
              <w:pStyle w:val="Compact"/>
            </w:pPr>
            <w:r>
              <w:t xml:space="preserve">Khiếu nại, đánh giá chất lượng</w:t>
            </w:r>
          </w:p>
        </w:tc>
        <w:tc>
          <w:tcPr/>
          <w:p>
            <w:pPr>
              <w:pStyle w:val="Compact"/>
            </w:pPr>
            <w:r>
              <w:t xml:space="preserve">Thư điện tử tới ban điều hành oBacker (trang@obacker.com, tuan@obacker.com)</w:t>
            </w:r>
          </w:p>
        </w:tc>
        <w:tc>
          <w:tcPr/>
          <w:p>
            <w:pPr>
              <w:pStyle w:val="Compact"/>
            </w:pPr>
            <w:r>
              <w:t xml:space="preserve">Ban điều hành</w:t>
            </w:r>
          </w:p>
        </w:tc>
      </w:tr>
    </w:tbl>
    <w:p>
      <w:pPr>
        <w:pStyle w:val="BodyText"/>
      </w:pPr>
      <w:r>
        <w:rPr>
          <w:i/>
          <w:iCs/>
        </w:rPr>
        <w:t xml:space="preserve">Giờ làm việc:</w:t>
      </w:r>
      <w:r>
        <w:t xml:space="preserve"> </w:t>
      </w:r>
      <w:r>
        <w:t xml:space="preserve">Thứ Hai đến Thứ Sáu, 9h00-18h00. Thứ Bảy chỉ xử lý các nghĩa vụ có thời hạn cấp bách với cơ quan nhà nước. Chủ nhật và ngày lễ không vận hành.</w:t>
      </w:r>
    </w:p>
    <w:bookmarkEnd w:id="18"/>
    <w:bookmarkStart w:id="19" w:name="X8241b3228b2227cfd0a629b3c27d2841eea0ab8"/>
    <w:p>
      <w:pPr>
        <w:pStyle w:val="Heading2"/>
      </w:pPr>
      <w:r>
        <w:t xml:space="preserve">10. Phân chia trách nhiệm và cơ chế chịu phạt</w:t>
      </w:r>
    </w:p>
    <w:p>
      <w:pPr>
        <w:pStyle w:val="FirstParagraph"/>
      </w:pPr>
      <w:r>
        <w:rPr>
          <w:b/>
          <w:bCs/>
        </w:rPr>
        <w:t xml:space="preserve">Trách nhiệm của Quý Khách.</w:t>
      </w:r>
      <w:r>
        <w:t xml:space="preserve"> </w:t>
      </w:r>
      <w:r>
        <w:t xml:space="preserve">Người đại diện theo pháp luật chịu trách nhiệm cuối cùng trước cơ quan nhà nước về: tính trung thực và đầy đủ của hồ sơ, chứng từ cung cấp cho oBacker; tính hợp pháp của các giao dịch; việc nộp tiền thuế đúng hạn (oBacker không nộp thay, trừ khi có thỏa thuận liên kết tài khoản); và việc xác nhận tờ khai trong thời hạn bảy ngày trước ngày đến hạn.</w:t>
      </w:r>
    </w:p>
    <w:p>
      <w:pPr>
        <w:pStyle w:val="BodyText"/>
      </w:pPr>
      <w:r>
        <w:rPr>
          <w:b/>
          <w:bCs/>
        </w:rPr>
        <w:t xml:space="preserve">Trách nhiệm của oBacker.</w:t>
      </w:r>
      <w:r>
        <w:t xml:space="preserve"> </w:t>
      </w:r>
      <w:r>
        <w:t xml:space="preserve">Hạch toán và kê khai chính xác theo dữ liệu Quý Khách cung cấp; nộp tờ khai đúng hạn theo quy trình; tư vấn đúng quy định pháp luật hiện hành tại thời điểm tư vấn.</w:t>
      </w:r>
    </w:p>
    <w:p>
      <w:pPr>
        <w:pStyle w:val="BodyText"/>
      </w:pPr>
      <w:r>
        <w:rPr>
          <w:b/>
          <w:bCs/>
        </w:rPr>
        <w:t xml:space="preserve">Cơ chế chịu phạt.</w:t>
      </w:r>
    </w:p>
    <w:p>
      <w:pPr>
        <w:pStyle w:val="Compact"/>
        <w:numPr>
          <w:ilvl w:val="0"/>
          <w:numId w:val="1010"/>
        </w:numPr>
      </w:pPr>
      <w:r>
        <w:t xml:space="preserve">Nếu sai sót do lỗi của oBacker (kê khai sai số liệu Quý Khách đã cung cấp đúng, nộp tờ khai trễ khi Quý Khách đã xác nhận đúng quy trình, tư vấn sai quy định): oBacker chịu toàn bộ tiền phạt và tiền chậm nộp phát sinh từ lỗi đó.</w:t>
      </w:r>
    </w:p>
    <w:p>
      <w:pPr>
        <w:pStyle w:val="Compact"/>
        <w:numPr>
          <w:ilvl w:val="0"/>
          <w:numId w:val="1010"/>
        </w:numPr>
      </w:pPr>
      <w:r>
        <w:t xml:space="preserve">Nếu sai sót do lỗi của Quý Khách (cung cấp chứng từ sai hoặc thiếu, không xác nhận tờ khai đúng hạn, không nộp tiền thuế đúng hạn): Quý Khách chịu toàn bộ chi phí phạt.</w:t>
      </w:r>
    </w:p>
    <w:p>
      <w:pPr>
        <w:pStyle w:val="Compact"/>
        <w:numPr>
          <w:ilvl w:val="0"/>
          <w:numId w:val="1010"/>
        </w:numPr>
      </w:pPr>
      <w:r>
        <w:t xml:space="preserve">Trường hợp lỗi hỗn hợp: hai bên cùng làm rõ và phân chia trách nhiệm theo tỷ lệ lỗi.</w:t>
      </w:r>
    </w:p>
    <w:bookmarkEnd w:id="19"/>
    <w:bookmarkStart w:id="20" w:name="lịch-phối-hợp-định-kỳ-hàng-tháng"/>
    <w:p>
      <w:pPr>
        <w:pStyle w:val="Heading2"/>
      </w:pPr>
      <w:r>
        <w:t xml:space="preserve">11. Lịch phối hợp định kỳ hàng tháng</w:t>
      </w:r>
    </w:p>
    <w:p>
      <w:pPr>
        <w:pStyle w:val="FirstParagraph"/>
      </w:pPr>
      <w:r>
        <w:t xml:space="preserve">Sau giai đoạn thiết lập ban đầu, việc phối hợp đi vào lịch cố định hàng tháng. Thư điện tử định kỳ được gửi từ ops@obacker.com. Quý Khách phản hồi ngay trên đúng luồng thư điện tử đó, không mở thư mới.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Thời điểm</w:t>
            </w:r>
          </w:p>
        </w:tc>
        <w:tc>
          <w:tcPr/>
          <w:p>
            <w:pPr>
              <w:pStyle w:val="Compact"/>
            </w:pPr>
            <w:r>
              <w:t xml:space="preserve">oBacker gửi</w:t>
            </w:r>
          </w:p>
        </w:tc>
        <w:tc>
          <w:tcPr/>
          <w:p>
            <w:pPr>
              <w:pStyle w:val="Compact"/>
            </w:pPr>
            <w:r>
              <w:t xml:space="preserve">Quý Khách thực hiện</w:t>
            </w:r>
          </w:p>
        </w:tc>
      </w:tr>
      <w:tr>
        <w:tc>
          <w:tcPr/>
          <w:p>
            <w:pPr>
              <w:pStyle w:val="Compact"/>
            </w:pPr>
            <w:r>
              <w:t xml:space="preserve">Ngày 1 và ngày 5</w:t>
            </w:r>
          </w:p>
        </w:tc>
        <w:tc>
          <w:tcPr/>
          <w:p>
            <w:pPr>
              <w:pStyle w:val="Compact"/>
            </w:pPr>
            <w:r>
              <w:t xml:space="preserve">Thu thập số liệu tháng trước: sao kê tất cả tài khoản, hợp đồng mới, hóa đơn đầu vào và đầu ra</w:t>
            </w:r>
          </w:p>
        </w:tc>
        <w:tc>
          <w:tcPr/>
          <w:p>
            <w:pPr>
              <w:pStyle w:val="Compact"/>
            </w:pPr>
            <w:r>
              <w:t xml:space="preserve">Phản hồi kèm đầy đủ tệp. Nếu đến kỳ chốt chưa nhận đủ, oBacker tạm kê khai theo số liệu hiện có để nộp đúng hạn; việc điều chỉnh sau đó có thể phát sinh phí và rủi ro bị phạt chậm nộp</w:t>
            </w:r>
          </w:p>
        </w:tc>
      </w:tr>
      <w:tr>
        <w:tc>
          <w:tcPr/>
          <w:p>
            <w:pPr>
              <w:pStyle w:val="Compact"/>
            </w:pPr>
            <w:r>
              <w:t xml:space="preserve">Ngày 20</w:t>
            </w:r>
          </w:p>
        </w:tc>
        <w:tc>
          <w:tcPr/>
          <w:p>
            <w:pPr>
              <w:pStyle w:val="Compact"/>
            </w:pPr>
            <w:r>
              <w:t xml:space="preserve">Chuẩn bị kỳ lương: hỏi thông tin biến động nhân sự</w:t>
            </w:r>
          </w:p>
        </w:tc>
        <w:tc>
          <w:tcPr/>
          <w:p>
            <w:pPr>
              <w:pStyle w:val="Compact"/>
            </w:pPr>
            <w:r>
              <w:t xml:space="preserve">Phản hồi thông tin biến động;</w:t>
            </w:r>
            <w:r>
              <w:t xml:space="preserve">nếu không có biến động vẫn xác nhận</w:t>
            </w:r>
            <w:r>
              <w:t xml:space="preserve"> </w:t>
            </w:r>
            <w:r>
              <w:t xml:space="preserve">“không có biến động”</w:t>
            </w:r>
          </w:p>
        </w:tc>
      </w:tr>
      <w:tr>
        <w:tc>
          <w:tcPr/>
          <w:p>
            <w:pPr>
              <w:pStyle w:val="Compact"/>
            </w:pPr>
            <w:r>
              <w:t xml:space="preserve">Ngày 15 và ngày 25</w:t>
            </w:r>
          </w:p>
        </w:tc>
        <w:tc>
          <w:tcPr/>
          <w:p>
            <w:pPr>
              <w:pStyle w:val="Compact"/>
            </w:pPr>
            <w:r>
              <w:t xml:space="preserve">Thông báo số tiền bảo hiểm xã hội, bảo hiểm y tế, bảo hiểm thất nghiệp phải đóng của kỳ tháng trước, kèm mẫu C12</w:t>
            </w:r>
          </w:p>
        </w:tc>
        <w:tc>
          <w:tcPr/>
          <w:p>
            <w:pPr>
              <w:pStyle w:val="Compact"/>
            </w:pPr>
            <w:r>
              <w:t xml:space="preserve">Đóng đúng số tiền và đúng mã đơn vị oBacker nêu, trước thời hạn của cơ quan bảo hiểm xã hội (thường là ngày cuối tháng);</w:t>
            </w:r>
            <w:r>
              <w:t xml:space="preserve">đóng theo số tiền trong thư, không đóng theo số trên mẫu C12 nếu hai số khác nhau</w:t>
            </w:r>
          </w:p>
        </w:tc>
      </w:tr>
    </w:tbl>
    <w:p>
      <w:pPr>
        <w:pStyle w:val="BodyText"/>
      </w:pPr>
      <w:r>
        <w:t xml:space="preserve">Hai thư nhắc bảo hiểm ngày 15 và ngày 25 là hai lần nhắc cho cùng một số tiền của cùng một kỳ, không phải hai khoản riêng biệt. Nếu đã đóng sau thư ngày 15, Quý Khách bỏ qua thư ngày 25.</w:t>
      </w:r>
    </w:p>
    <w:bookmarkEnd w:id="20"/>
    <w:bookmarkStart w:id="21" w:name="quyền-và-nghĩa-vụ-của-quý-khách"/>
    <w:p>
      <w:pPr>
        <w:pStyle w:val="Heading2"/>
      </w:pPr>
      <w:r>
        <w:t xml:space="preserve">12. Quyền và nghĩa vụ của Quý Khách</w:t>
      </w:r>
    </w:p>
    <w:p>
      <w:pPr>
        <w:pStyle w:val="FirstParagraph"/>
      </w:pPr>
      <w:r>
        <w:rPr>
          <w:b/>
          <w:bCs/>
        </w:rPr>
        <w:t xml:space="preserve">Quý Khách có quyền:</w:t>
      </w:r>
      <w:r>
        <w:t xml:space="preserve"> </w:t>
      </w:r>
      <w:r>
        <w:t xml:space="preserve">yêu cầu oBacker báo cáo tiến độ bất kỳ lúc nào; xem lại và phản hồi tài liệu trước khi oBacker phát hành; truy cập nền tảng biểu mẫu; chấm dứt dịch vụ với thông báo trước 30 ngày theo hợp đồng.</w:t>
      </w:r>
    </w:p>
    <w:p>
      <w:pPr>
        <w:pStyle w:val="BodyText"/>
      </w:pPr>
      <w:r>
        <w:rPr>
          <w:b/>
          <w:bCs/>
        </w:rPr>
        <w:t xml:space="preserve">Quý Khách có nghĩa vụ:</w:t>
      </w:r>
      <w:r>
        <w:t xml:space="preserve"> </w:t>
      </w:r>
      <w:r>
        <w:t xml:space="preserve">cung cấp tài liệu đầy đủ, chính xác, đúng hạn; thanh toán phí dịch vụ đúng hạn; không yêu cầu oBacker thực hiện hành vi trái pháp luật; hợp tác cung cấp thông tin khi cơ quan nhà nước yêu cầu thông qua oBacker; bảo mật thông tin, quy trình và công cụ của oBacker; tự chịu trách nhiệm về các giao dịch, hợp đồng và quyết định kinh doanh của mình.</w:t>
      </w:r>
    </w:p>
    <w:bookmarkEnd w:id="21"/>
    <w:bookmarkStart w:id="22" w:name="câu-hỏi-thường-gặp"/>
    <w:p>
      <w:pPr>
        <w:pStyle w:val="Heading2"/>
      </w:pPr>
      <w:r>
        <w:t xml:space="preserve">13. Câu hỏi thường gặp</w:t>
      </w:r>
    </w:p>
    <w:p>
      <w:pPr>
        <w:pStyle w:val="FirstParagraph"/>
      </w:pPr>
      <w:r>
        <w:rPr>
          <w:b/>
          <w:bCs/>
        </w:rPr>
        <w:t xml:space="preserve">Công ty mới thành lập chưa hoạt động, có cần nộp tờ khai thuế không?</w:t>
      </w:r>
      <w:r>
        <w:t xml:space="preserve"> </w:t>
      </w:r>
      <w:r>
        <w:t xml:space="preserve">Có. Ngay khi được cấp ERC, doanh nghiệp đã phát sinh nghĩa vụ kê khai. Tờ khai trống vẫn phải nộp đúng hạn (xem Mục 5.1).</w:t>
      </w:r>
    </w:p>
    <w:p>
      <w:pPr>
        <w:pStyle w:val="BodyText"/>
      </w:pPr>
      <w:r>
        <w:rPr>
          <w:b/>
          <w:bCs/>
        </w:rPr>
        <w:t xml:space="preserve">Tôi trả tiền cho một cộng tác viên làm dự án ba tháng, không có hợp đồng lao động, cần làm gì?</w:t>
      </w:r>
      <w:r>
        <w:t xml:space="preserve"> </w:t>
      </w:r>
      <w:r>
        <w:t xml:space="preserve">Cần hợp đồng dịch vụ, chứng từ thanh toán và khấu trừ thuế thu nhập cá nhân 10% (nếu khoản chi từ 2 triệu đồng mỗi lần). Nếu người này làm liên tục và đều đặn, chuyển sang hợp đồng lao động giúp tránh rủi ro bị truy thu bảo hiểm xã hội (xem Mục 5.3 và 5.4).</w:t>
      </w:r>
    </w:p>
    <w:p>
      <w:pPr>
        <w:pStyle w:val="BodyText"/>
      </w:pPr>
      <w:r>
        <w:rPr>
          <w:b/>
          <w:bCs/>
        </w:rPr>
        <w:t xml:space="preserve">Khách mua lẻ không lấy hóa đơn thì tôi khỏi xuất phải không?</w:t>
      </w:r>
      <w:r>
        <w:t xml:space="preserve"> </w:t>
      </w:r>
      <w:r>
        <w:t xml:space="preserve">Không đúng. Vẫn phải xuất hóa đơn, ghi tên và địa chỉ người mua (xem Mục 5.5).</w:t>
      </w:r>
    </w:p>
    <w:p>
      <w:pPr>
        <w:pStyle w:val="BodyText"/>
      </w:pPr>
      <w:r>
        <w:rPr>
          <w:b/>
          <w:bCs/>
        </w:rPr>
        <w:t xml:space="preserve">Tôi thanh toán quảng cáo trực tuyến và phần mềm nước ngoài bằng thẻ công ty, có cần báo oBacker không?</w:t>
      </w:r>
      <w:r>
        <w:t xml:space="preserve"> </w:t>
      </w:r>
      <w:r>
        <w:t xml:space="preserve">Bắt buộc báo ngay khi vừa thực hiện giao dịch. oBacker sẽ xác định giao dịch có thuộc diện phải kê khai thuế nhà thầu hay không. Nếu không báo ngay, hoặc không kê khai trong 10 ngày, doanh nghiệp sẽ bị phạt và truy thu (xem Mục 5.6).</w:t>
      </w:r>
    </w:p>
    <w:p>
      <w:pPr>
        <w:pStyle w:val="BodyText"/>
      </w:pPr>
      <w:r>
        <w:rPr>
          <w:b/>
          <w:bCs/>
        </w:rPr>
        <w:t xml:space="preserve">Gói Starter có bao gồm soạn hợp đồng lao động cho nhân viên mới không?</w:t>
      </w:r>
      <w:r>
        <w:t xml:space="preserve"> </w:t>
      </w:r>
      <w:r>
        <w:t xml:space="preserve">Có. Soạn hợp đồng lao động và thỏa thuận bảo mật chuẩn cho nhân viên nội bộ áp dụng cho cả ba gói. Không bao gồm soạn hợp đồng thương mại với bên thứ ba.</w:t>
      </w:r>
    </w:p>
    <w:p>
      <w:pPr>
        <w:pStyle w:val="BodyText"/>
      </w:pPr>
      <w:r>
        <w:rPr>
          <w:b/>
          <w:bCs/>
        </w:rPr>
        <w:t xml:space="preserve">Gói Scale có 2 lượt rà soát hợp đồng mỗi tháng; tháng này không dùng thì tháng sau có 4 lượt không?</w:t>
      </w:r>
      <w:r>
        <w:t xml:space="preserve"> </w:t>
      </w:r>
      <w:r>
        <w:t xml:space="preserve">Không. Hạn mức không tích lũy sang tháng sau. Nếu cần thêm, Quý Khách mua thêm lượt với mức giảm 5%.</w:t>
      </w:r>
    </w:p>
    <w:p>
      <w:pPr>
        <w:pStyle w:val="BodyText"/>
      </w:pPr>
      <w:r>
        <w:rPr>
          <w:b/>
          <w:bCs/>
        </w:rPr>
        <w:t xml:space="preserve">Tôi có thể liên hệ trực tiếp nhân viên oBacker qua tin nhắn cá nhân không?</w:t>
      </w:r>
      <w:r>
        <w:t xml:space="preserve"> </w:t>
      </w:r>
      <w:r>
        <w:t xml:space="preserve">Không khuyến khích. Mọi trao đổi chính thức đi qua người phụ trách tài khoản bằng thư điện tử (đúng luồng) để được lưu vết và ghi nhận vào hệ thống. Tin nhắn cá nhân chỉ dùng để trao đổi nhanh, không liên quan đến sản phẩm bàn giao và không được ghi nhận chính thức.</w:t>
      </w:r>
    </w:p>
    <w:p>
      <w:pPr>
        <w:pStyle w:val="BodyText"/>
      </w:pPr>
      <w:r>
        <w:rPr>
          <w:b/>
          <w:bCs/>
        </w:rPr>
        <w:t xml:space="preserve">Nếu phát hiện sai sót trong báo cáo oBacker gửi thì xử lý thế nào?</w:t>
      </w:r>
      <w:r>
        <w:t xml:space="preserve"> </w:t>
      </w:r>
      <w:r>
        <w:t xml:space="preserve">Phản hồi ngay trên thư điện tử chứa báo cáo đó, nêu rõ sai sót kèm tài liệu chứng minh. oBacker phản hồi và xử lý trong vòng 24 giờ làm việc. Nếu sai sót dẫn đến tiền phạt, áp dụng cơ chế phân chia trách nhiệm tại Mục 10.</w:t>
      </w:r>
    </w:p>
    <w:p>
      <w:pPr>
        <w:pStyle w:val="BodyText"/>
      </w:pPr>
      <w:r>
        <w:rPr>
          <w:b/>
          <w:bCs/>
        </w:rPr>
        <w:t xml:space="preserve">Tôi muốn nâng gói từ Starter lên Scale hoặc Premium thì làm thế nào?</w:t>
      </w:r>
      <w:r>
        <w:t xml:space="preserve"> </w:t>
      </w:r>
      <w:r>
        <w:t xml:space="preserve">Gửi thư điện tử tới ops@obacker.com. oBacker gửi phụ lục hợp đồng trong ba ngày làm việc; việc nâng gói có hiệu lực từ kỳ báo cáo tiếp theo. Phí tháng đầu sau khi nâng gói tính theo gói mới, không hoàn trả phí gói cũ đã thanh toán.</w:t>
      </w:r>
    </w:p>
    <w:p>
      <w:pPr>
        <w:pStyle w:val="BodyText"/>
      </w:pPr>
      <w:r>
        <w:rPr>
          <w:b/>
          <w:bCs/>
        </w:rPr>
        <w:t xml:space="preserve">Doanh nghiệp vượt ngưỡng giao dịch hoặc nhân sự của gói đang dùng thì sao?</w:t>
      </w:r>
      <w:r>
        <w:t xml:space="preserve"> </w:t>
      </w:r>
      <w:r>
        <w:t xml:space="preserve">oBacker chủ động thông báo khi phát hiện vượt ngưỡng và đề xuất nâng gói. Trong thời gian chuyển tiếp, oBacker vẫn xử lý đầy đủ khối lượng nhưng có thể phát sinh phí điều chỉnh theo thỏa thuận.</w:t>
      </w:r>
    </w:p>
    <w:p>
      <w:pPr>
        <w:pStyle w:val="BodyText"/>
      </w:pPr>
      <w:r>
        <w:rPr>
          <w:b/>
          <w:bCs/>
        </w:rPr>
        <w:t xml:space="preserve">Tôi cần xử lý tranh chấp với một nhân viên cũ, oBacker có hỗ trợ không?</w:t>
      </w:r>
      <w:r>
        <w:t xml:space="preserve"> </w:t>
      </w:r>
      <w:r>
        <w:t xml:space="preserve">Không. Tranh chấp lao động thuộc nhóm ngoài phạm vi dịch vụ (Mục 8). oBacker có thể giới thiệu luật sư chuyên về lao động nếu Quý Khách yêu cầu.</w:t>
      </w:r>
    </w:p>
    <w:p>
      <w:pPr>
        <w:pStyle w:val="BodyText"/>
      </w:pPr>
      <w:r>
        <w:rPr>
          <w:b/>
          <w:bCs/>
        </w:rPr>
        <w:t xml:space="preserve">Dữ liệu của tôi được bảo mật thế nào?</w:t>
      </w:r>
      <w:r>
        <w:t xml:space="preserve"> </w:t>
      </w:r>
      <w:r>
        <w:t xml:space="preserve">oBacker tuân thủ Luật Bảo vệ dữ liệu cá nhân số 91/2025/QH15 và hợp đồng dịch vụ. Dữ liệu được lưu trên hệ thống có kiểm soát quyền truy cập; chỉ nhân viên phụ trách mới được xem. Chi tiết tại Chính sách Bảo vệ Dữ liệu Cá nhân công bố tại obacker.com.</w:t>
      </w:r>
    </w:p>
    <w:p>
      <w:pPr>
        <w:pStyle w:val="BodyText"/>
      </w:pPr>
      <w:r>
        <w:rPr>
          <w:b/>
          <w:bCs/>
        </w:rPr>
        <w:t xml:space="preserve">Điều gì xảy ra khi chấm dứt dịch vụ?</w:t>
      </w:r>
      <w:r>
        <w:t xml:space="preserve"> </w:t>
      </w:r>
      <w:r>
        <w:t xml:space="preserve">oBacker bàn giao toàn bộ sổ sách, hồ sơ và thông tin đăng nhập hệ thống cho Quý Khách hoặc đơn vị kế toán mới trong vòng 15 ngày làm việc kể từ ngày chấm dứt.</w:t>
      </w:r>
    </w:p>
    <w:bookmarkEnd w:id="22"/>
    <w:bookmarkStart w:id="23" w:name="danh-mục-kiểm-tra-nhanh-cho-năm-tuần-đầu"/>
    <w:p>
      <w:pPr>
        <w:pStyle w:val="Heading2"/>
      </w:pPr>
      <w:r>
        <w:t xml:space="preserve">14. Danh mục kiểm tra nhanh cho năm tuần đầu</w:t>
      </w:r>
    </w:p>
    <w:p>
      <w:pPr>
        <w:pStyle w:val="FirstParagraph"/>
      </w:pPr>
      <w:r>
        <w:rPr>
          <w:b/>
          <w:bCs/>
        </w:rPr>
        <w:t xml:space="preserve">Tuần 1:</w:t>
      </w:r>
      <w:r>
        <w:t xml:space="preserve"> </w:t>
      </w:r>
      <w:r>
        <w:t xml:space="preserve">đã nhận thư chào mừng; đã sắp xếp buổi họp khởi động với người phụ trách tài khoản; đã xác định đầu mối chính và người dự phòng; đã truy cập thư mục chia sẻ trên Google Drive; đã cung cấp đủ hồ sơ theo danh mục yêu cầu; đã nhận tài khoản nền tảng biểu mẫu; đã đọc Mục 5.</w:t>
      </w:r>
    </w:p>
    <w:p>
      <w:pPr>
        <w:pStyle w:val="BodyText"/>
      </w:pPr>
      <w:r>
        <w:rPr>
          <w:b/>
          <w:bCs/>
        </w:rPr>
        <w:t xml:space="preserve">Tuần 2:</w:t>
      </w:r>
      <w:r>
        <w:t xml:space="preserve"> </w:t>
      </w:r>
      <w:r>
        <w:t xml:space="preserve">đã ký Hợp Đồng dịch vụ và gửi bản cứng về oBacker; đã cấp quyền truy cập hóa đơn điện tử và sao kê ngân hàng; đã giới thiệu oBacker với đơn vị kế toán cũ (nếu có); đã đọc Mục 8 và Mục 10.</w:t>
      </w:r>
    </w:p>
    <w:p>
      <w:pPr>
        <w:pStyle w:val="BodyText"/>
      </w:pPr>
      <w:r>
        <w:rPr>
          <w:b/>
          <w:bCs/>
        </w:rPr>
        <w:t xml:space="preserve">Tuần 3-4:</w:t>
      </w:r>
      <w:r>
        <w:t xml:space="preserve"> </w:t>
      </w:r>
      <w:r>
        <w:t xml:space="preserve">đã chọn ngày chốt công cố định và thông báo cho oBacker; đã gửi hóa đơn đầu vào; đã thông báo biến động nhân sự (nếu có).</w:t>
      </w:r>
    </w:p>
    <w:p>
      <w:pPr>
        <w:pStyle w:val="BodyText"/>
      </w:pPr>
      <w:r>
        <w:rPr>
          <w:b/>
          <w:bCs/>
        </w:rPr>
        <w:t xml:space="preserve">Tuần 5:</w:t>
      </w:r>
      <w:r>
        <w:t xml:space="preserve"> </w:t>
      </w:r>
      <w:r>
        <w:t xml:space="preserve">đã xem lại báo cáo tháng đầu; đã xem lại phiếu lương tháng đầu (nếu có); đã tham gia buổi họp rà soát cuối tháng; đã góp ý về trải nghiệm dịch vụ.</w:t>
      </w:r>
    </w:p>
    <w:bookmarkEnd w:id="23"/>
    <w:bookmarkStart w:id="24" w:name="giải-thích-thuật-ngữ-và-chữ-viết-tắt"/>
    <w:p>
      <w:pPr>
        <w:pStyle w:val="Heading2"/>
      </w:pPr>
      <w:r>
        <w:t xml:space="preserve">15. Giải thích thuật ngữ và chữ viết tắt</w:t>
      </w:r>
    </w:p>
    <w:p>
      <w:pPr>
        <w:pStyle w:val="FirstParagraph"/>
      </w:pPr>
      <w:r>
        <w:rPr>
          <w:b/>
          <w:bCs/>
        </w:rPr>
        <w:t xml:space="preserve">Pháp lý và doanh nghiệp:</w:t>
      </w:r>
      <w:r>
        <w:t xml:space="preserve"> </w:t>
      </w:r>
      <w:r>
        <w:t xml:space="preserve">ERC là Giấy chứng nhận đăng ký doanh nghiệp; IRC là Giấy chứng nhận đăng ký đầu tư (cần cho doanh nghiệp có vốn đầu tư nước ngoài); FDI là đầu tư trực tiếp nước ngoài (doanh nghiệp có nhà đầu tư nước ngoài sở hữu từ 1% vốn); thỏa thuận bảo mật (NDA) là hợp đồng yêu cầu các bên không tiết lộ thông tin mật của nhau.</w:t>
      </w:r>
    </w:p>
    <w:p>
      <w:pPr>
        <w:pStyle w:val="BodyText"/>
      </w:pPr>
      <w:r>
        <w:rPr>
          <w:b/>
          <w:bCs/>
        </w:rPr>
        <w:t xml:space="preserve">Thuế và kế toán:</w:t>
      </w:r>
      <w:r>
        <w:t xml:space="preserve"> </w:t>
      </w:r>
      <w:r>
        <w:t xml:space="preserve">BCTC là báo cáo tài chính (hạn nộp cuối tháng 3 năm sau); GTGT là thuế giá trị gia tăng (mức phổ biến 10% và 5%); TNCN là thuế thu nhập cá nhân; TNDN là thuế thu nhập doanh nghiệp (thuế suất phổ thông 20%); thuế nhà thầu nước ngoài (FCT) là thuế đánh trên doanh thu của tổ chức, cá nhân nước ngoài khi cung cấp hàng hóa, dịch vụ cho doanh nghiệp Việt Nam, do doanh nghiệp Việt Nam khấu trừ và nộp thay (cơ sở pháp lý: Thông tư 103/2014/TT-BTC).</w:t>
      </w:r>
    </w:p>
    <w:p>
      <w:pPr>
        <w:pStyle w:val="BodyText"/>
      </w:pPr>
      <w:r>
        <w:rPr>
          <w:b/>
          <w:bCs/>
        </w:rPr>
        <w:t xml:space="preserve">Nhân sự:</w:t>
      </w:r>
      <w:r>
        <w:t xml:space="preserve"> </w:t>
      </w:r>
      <w:r>
        <w:t xml:space="preserve">BHXH là bảo hiểm xã hội (doanh nghiệp đóng 17,5%, người lao động đóng 8%); BHYT là bảo hiểm y tế (3% và 1,5%); BHTN là bảo hiểm thất nghiệp (1% và 1%); MST là mã số thuế; làm thêm giờ theo Bộ luật Lao động 2019 không quá 40 giờ mỗi tháng và 200 giờ mỗi năm (trường hợp đặc biệt tối đa 300 giờ mỗi năm).</w:t>
      </w:r>
    </w:p>
    <w:p>
      <w:pPr>
        <w:pStyle w:val="BodyText"/>
      </w:pPr>
      <w:r>
        <w:rPr>
          <w:b/>
          <w:bCs/>
        </w:rPr>
        <w:t xml:space="preserve">Vận hành và dịch vụ:</w:t>
      </w:r>
      <w:r>
        <w:t xml:space="preserve"> </w:t>
      </w:r>
      <w:r>
        <w:t xml:space="preserve">Khung tính lương là bộ quy tắc tính lương chuẩn được hai bên thống nhất trước; dịch vụ bổ sung ngoài gói là dịch vụ tính phí riêng khi có nhu cầu; buổi họp khởi động là buổi làm việc 45-60 phút trong Tuần 1 để giới thiệu quy trình và lập kế hoạch; cam kết thời gian phản hồi tại oBacker là 24 giờ làm việc cho thư điện tử.</w:t>
      </w:r>
    </w:p>
    <w:p>
      <w:r>
        <w:pict>
          <v:rect style="width:0;height:1.5pt" o:hralign="center" o:hrstd="t" o:hr="t"/>
        </w:pict>
      </w:r>
    </w:p>
    <w:p>
      <w:pPr>
        <w:pStyle w:val="FirstParagraph"/>
      </w:pPr>
      <w:r>
        <w:rPr>
          <w:i/>
          <w:iCs/>
        </w:rPr>
        <w:t xml:space="preserve">Tài liệu được cập nhật định kỳ. Phiên bản mới nhất luôn có tại liên kết do oBacker cung cấp. Mọi thắc mắc xin gửi về ops@obacker.com.</w:t>
      </w:r>
    </w:p>
    <w:p>
      <w:pPr>
        <w:pStyle w:val="BodyText"/>
      </w:pPr>
      <w:r>
        <w:rPr>
          <w:b/>
          <w:bCs/>
        </w:rPr>
        <w:t xml:space="preserve">Công ty Cổ phần oBacker · MST: 0402298185 · contact@obacker.com · www.obacker.com</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End w:id="24"/>
    <w:bookmarkStart w:id="25"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LÀM VIỆC VỚI OBACKER</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