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CHÍNH SÁCH BẢO VỆ DỮ LIỆU CÁ NHÂN</w:t>
      </w:r>
    </w:p>
    <w:bookmarkStart w:id="10" w:name="chính-sách-bảo-vệ-dữ-liệu-cá-nhân"/>
    <w:p>
      <w:pPr>
        <w:pStyle w:val="Heading1"/>
      </w:pPr>
      <w:r>
        <w:t xml:space="preserve">CHÍNH SÁCH BẢO VỆ DỮ LIỆU CÁ NHÂN</w:t>
      </w:r>
    </w:p>
    <w:bookmarkStart w:id="9" w:name="bao-gồm-phần-riêng-cho-dữ-liệu-nhạy-cảm"/>
    <w:p>
      <w:pPr>
        <w:pStyle w:val="Heading3"/>
      </w:pPr>
      <w:r>
        <w:t xml:space="preserve">Bao gồm phần riêng cho Dữ liệu Nhạy cảm</w:t>
      </w:r>
    </w:p>
    <w:p>
      <w:pPr>
        <w:pStyle w:val="FirstParagraph"/>
      </w:pPr>
      <w:r>
        <w:rPr>
          <w:b/>
          <w:bCs/>
        </w:rPr>
        <w:t xml:space="preserve">Áp dụng cho:</w:t>
      </w:r>
      <w:r>
        <w:t xml:space="preserve"> </w:t>
      </w:r>
      <w:r>
        <w:t xml:space="preserve">Công ty cổ phần oBacker</w:t>
      </w:r>
      <w:r>
        <w:t xml:space="preserve"> </w:t>
      </w:r>
      <w:r>
        <w:rPr>
          <w:b/>
          <w:bCs/>
        </w:rPr>
        <w:t xml:space="preserve">Phiên bản:</w:t>
      </w:r>
      <w:r>
        <w:t xml:space="preserve"> </w:t>
      </w:r>
      <w:r>
        <w:t xml:space="preserve">R.1.0.0 (hợp nhất) ·</w:t>
      </w:r>
      <w:r>
        <w:t xml:space="preserve"> </w:t>
      </w:r>
      <w:r>
        <w:rPr>
          <w:b/>
          <w:bCs/>
        </w:rPr>
        <w:t xml:space="preserve">Ngày ban hành:</w:t>
      </w:r>
      <w:r>
        <w:t xml:space="preserve"> </w:t>
      </w:r>
      <w:r>
        <w:t xml:space="preserve">21/09/2026 ·</w:t>
      </w:r>
      <w:r>
        <w:t xml:space="preserve"> </w:t>
      </w:r>
      <w:r>
        <w:rPr>
          <w:b/>
          <w:bCs/>
        </w:rPr>
        <w:t xml:space="preserve">Ngày hiệu lực:</w:t>
      </w:r>
      <w:r>
        <w:t xml:space="preserve"> </w:t>
      </w:r>
      <w:r>
        <w:t xml:space="preserve">21/09/2026</w:t>
      </w:r>
    </w:p>
    <w:p>
      <w:r>
        <w:pict>
          <v:rect style="width:0;height:1.5pt" o:hralign="center" o:hrstd="t" o:hr="t"/>
        </w:pict>
      </w:r>
    </w:p>
    <w:p>
      <w:pPr>
        <w:pStyle w:val="FirstParagraph"/>
      </w:pPr>
      <w:r>
        <w:t xml:space="preserve">Khi Quý Khách chọn làm việc với oBacker; dù là khách hàng doanh nghiệp, người lao động của khách hàng, cổ đông, đối tác hay người dùng trang web; Quý Khách trao cho chúng tôi nhiều thông tin riêng tư và nhạy cảm. Chúng tôi hiểu rõ giá trị của niềm tin đó và không xem nhẹ.</w:t>
      </w:r>
    </w:p>
    <w:p>
      <w:pPr>
        <w:pStyle w:val="BodyText"/>
      </w:pPr>
      <w:r>
        <w:t xml:space="preserve">oBacker công khai Chính sách này để Quý Khách có thể kiểm tra bất cứ lúc nào: chúng tôi thu thập gì, vì sao, làm gì với dữ liệu, ai được tiếp cận, và Quý Khách can thiệp bằng cách nào. Nói ngắn gọn: dữ liệu là của Quý Khách; oBacker chỉ là bên được Quý Khách tin tưởng giao xử lý.</w:t>
      </w:r>
    </w:p>
    <w:p>
      <w:pPr>
        <w:pStyle w:val="BodyText"/>
      </w:pPr>
      <w:r>
        <w:t xml:space="preserve">Chính sách gồm hai phần.</w:t>
      </w:r>
      <w:r>
        <w:t xml:space="preserve"> </w:t>
      </w:r>
      <w:r>
        <w:rPr>
          <w:b/>
          <w:bCs/>
        </w:rPr>
        <w:t xml:space="preserve">Phần I; Quy định chung</w:t>
      </w:r>
      <w:r>
        <w:t xml:space="preserve"> </w:t>
      </w:r>
      <w:r>
        <w:t xml:space="preserve">áp dụng cho mọi dữ liệu cá nhân.</w:t>
      </w:r>
      <w:r>
        <w:t xml:space="preserve"> </w:t>
      </w:r>
      <w:r>
        <w:rPr>
          <w:b/>
          <w:bCs/>
        </w:rPr>
        <w:t xml:space="preserve">Phần II; Dữ liệu cá nhân nhạy cảm</w:t>
      </w:r>
      <w:r>
        <w:t xml:space="preserve"> </w:t>
      </w:r>
      <w:r>
        <w:t xml:space="preserve">quy định các biện pháp tăng cường. Khi có khác biệt liên quan đến dữ liệu nhạy cảm,</w:t>
      </w:r>
      <w:r>
        <w:t xml:space="preserve"> </w:t>
      </w:r>
      <w:r>
        <w:rPr>
          <w:b/>
          <w:bCs/>
        </w:rPr>
        <w:t xml:space="preserve">Phần II được ưu tiên áp dụng</w:t>
      </w:r>
      <w:r>
        <w:t xml:space="preserve">.</w:t>
      </w:r>
    </w:p>
    <w:p>
      <w:r>
        <w:pict>
          <v:rect style="width:0;height:1.5pt" o:hralign="center" o:hrstd="t" o:hr="t"/>
        </w:pict>
      </w:r>
    </w:p>
    <w:bookmarkEnd w:id="9"/>
    <w:bookmarkEnd w:id="10"/>
    <w:bookmarkStart w:id="31" w:name="phần-i-quy-định-chung"/>
    <w:p>
      <w:pPr>
        <w:pStyle w:val="Heading1"/>
      </w:pPr>
      <w:r>
        <w:t xml:space="preserve">PHẦN I; QUY ĐỊNH CHUNG</w:t>
      </w:r>
    </w:p>
    <w:bookmarkStart w:id="11" w:name="điều-1.-giới-thiệu-và-phạm-vi-áp-dụng"/>
    <w:p>
      <w:pPr>
        <w:pStyle w:val="Heading2"/>
      </w:pPr>
      <w:r>
        <w:t xml:space="preserve">Điều 1. Giới thiệu và phạm vi áp dụng</w:t>
      </w:r>
    </w:p>
    <w:p>
      <w:pPr>
        <w:pStyle w:val="FirstParagraph"/>
      </w:pPr>
      <w:r>
        <w:rPr>
          <w:b/>
          <w:bCs/>
        </w:rPr>
        <w:t xml:space="preserve">1.1. oBacker là ai.</w:t>
      </w:r>
      <w:r>
        <w:t xml:space="preserve"> </w:t>
      </w:r>
      <w:r>
        <w:rPr>
          <w:b/>
          <w:bCs/>
        </w:rPr>
        <w:t xml:space="preserve">Công ty Cổ phần oBacker</w:t>
      </w:r>
      <w:r>
        <w:t xml:space="preserve"> </w:t>
      </w:r>
      <w:r>
        <w:t xml:space="preserve">(sau đây gọi là</w:t>
      </w:r>
      <w:r>
        <w:t xml:space="preserve"> </w:t>
      </w:r>
      <w:r>
        <w:t xml:space="preserve">“oBacker”</w:t>
      </w:r>
      <w:r>
        <w:t xml:space="preserve"> </w:t>
      </w:r>
      <w:r>
        <w:t xml:space="preserve">hoặc</w:t>
      </w:r>
      <w:r>
        <w:t xml:space="preserve"> </w:t>
      </w:r>
      <w:r>
        <w:t xml:space="preserve">“chúng tôi”</w:t>
      </w:r>
      <w:r>
        <w:t xml:space="preserve">) cung cấp dịch vụ vận hành doanh nghiệp cho doanh nghiệp vừa và nhỏ và doanh nghiệp FDI tại Việt Nam: kế toán, thuế, nhân sự, tiền lương, cấp phép và quản trị hồ sơ doanh nghiệp. Mảng</w:t>
      </w:r>
      <w:r>
        <w:t xml:space="preserve"> </w:t>
      </w:r>
      <w:r>
        <w:rPr>
          <w:b/>
          <w:bCs/>
        </w:rPr>
        <w:t xml:space="preserve">tư vấn/dịch vụ pháp lý</w:t>
      </w:r>
      <w:r>
        <w:t xml:space="preserve"> </w:t>
      </w:r>
      <w:r>
        <w:t xml:space="preserve">được cung cấp trong khuôn khổ hợp tác với</w:t>
      </w:r>
      <w:r>
        <w:t xml:space="preserve"> </w:t>
      </w:r>
      <w:r>
        <w:rPr>
          <w:b/>
          <w:bCs/>
        </w:rPr>
        <w:t xml:space="preserve">công ty luật đối tác độc lập</w:t>
      </w:r>
      <w:r>
        <w:t xml:space="preserve"> </w:t>
      </w:r>
      <w:r>
        <w:t xml:space="preserve">(dự kiến là Công ty Luật oBacker Law; sẽ thành lập). Việc xử lý dữ liệu cá nhân trong hồ sơ pháp lý do công ty luật đối tác lưu giữ còn chịu sự điều chỉnh của Luật Luật sư và đạo đức nghề nghiệp áp dụng cho tổ chức đó.</w:t>
      </w:r>
    </w:p>
    <w:p>
      <w:pPr>
        <w:pStyle w:val="BodyText"/>
      </w:pPr>
      <w:r>
        <w:t xml:space="preserve">Trong Chính sách này,</w:t>
      </w:r>
      <w:r>
        <w:t xml:space="preserve"> </w:t>
      </w:r>
      <w:r>
        <w:t xml:space="preserve">“Quý Khách”</w:t>
      </w:r>
      <w:r>
        <w:t xml:space="preserve"> </w:t>
      </w:r>
      <w:r>
        <w:t xml:space="preserve">hoặc</w:t>
      </w:r>
      <w:r>
        <w:t xml:space="preserve"> </w:t>
      </w:r>
      <w:r>
        <w:t xml:space="preserve">“Chủ thể dữ liệu”</w:t>
      </w:r>
      <w:r>
        <w:t xml:space="preserve"> </w:t>
      </w:r>
      <w:r>
        <w:t xml:space="preserve">là cá nhân có dữ liệu cá nhân được oBacker xử lý, có thể là: người đại diện, người liên hệ của khách hàng doanh nghiệp; người lao động của khách hàng (khi oBacker xử lý hồ sơ nhân sự, tiền lương, thuế TNCN, BHXH thay khách hàng); cổ đông, thành viên góp vốn, người đại diện theo pháp luật của khách hàng; người dùng truy cập trang web obacker.com; ứng viên ứng tuyển vào oBacker; và các cá nhân liên quan khác.</w:t>
      </w:r>
    </w:p>
    <w:p>
      <w:pPr>
        <w:pStyle w:val="BodyText"/>
      </w:pPr>
      <w:r>
        <w:rPr>
          <w:b/>
          <w:bCs/>
        </w:rPr>
        <w:t xml:space="preserve">1.2. Phạm vi áp dụng.</w:t>
      </w:r>
      <w:r>
        <w:t xml:space="preserve"> </w:t>
      </w:r>
      <w:r>
        <w:t xml:space="preserve">Chính sách áp dụng cho mọi hoạt động xử lý dữ liệu cá nhân do oBacker thực hiện thông qua: trang web obacker.com và các kênh trực tuyến chính thức; kênh tiếp xúc trực tiếp (email, điện thoại, gặp mặt, văn bản); các công cụ, hệ thống nghiệp vụ của oBacker; hạ tầng điện toán đám mây (Google Workspace); và quá trình cung cấp dịch vụ.</w:t>
      </w:r>
    </w:p>
    <w:p>
      <w:pPr>
        <w:pStyle w:val="BodyText"/>
      </w:pPr>
      <w:r>
        <w:rPr>
          <w:b/>
          <w:bCs/>
        </w:rPr>
        <w:t xml:space="preserve">1.3. Quan hệ với hợp đồng dịch vụ.</w:t>
      </w:r>
      <w:r>
        <w:t xml:space="preserve"> </w:t>
      </w:r>
      <w:r>
        <w:t xml:space="preserve">Khi oBacker xử lý dữ liệu của người lao động hoặc cổ đông của khách hàng, hợp đồng dịch vụ giữa oBacker và khách hàng quy định cụ thể vai trò xử lý dữ liệu của hai bên. Trong trường hợp đó, oBacker xử lý theo chỉ dẫn của khách hàng (Bên Kiểm soát dữ liệu).</w:t>
      </w:r>
    </w:p>
    <w:p>
      <w:pPr>
        <w:pStyle w:val="BodyText"/>
      </w:pPr>
      <w:r>
        <w:rPr>
          <w:b/>
          <w:bCs/>
        </w:rPr>
        <w:t xml:space="preserve">1.4. Cam kết công khai, minh bạch.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Nội dung công khai</w:t>
            </w:r>
          </w:p>
        </w:tc>
        <w:tc>
          <w:tcPr/>
          <w:p>
            <w:pPr>
              <w:pStyle w:val="Compact"/>
            </w:pPr>
            <w:r>
              <w:t xml:space="preserve">Tóm tắt</w:t>
            </w:r>
          </w:p>
        </w:tc>
        <w:tc>
          <w:tcPr/>
          <w:p>
            <w:pPr>
              <w:pStyle w:val="Compact"/>
            </w:pPr>
            <w:r>
              <w:t xml:space="preserve">Xem chi tiết</w:t>
            </w:r>
          </w:p>
        </w:tc>
      </w:tr>
      <w:tr>
        <w:tc>
          <w:tcPr/>
          <w:p>
            <w:pPr>
              <w:pStyle w:val="Compact"/>
            </w:pPr>
            <w:r>
              <w:t xml:space="preserve">Loại dữ liệu thu thập</w:t>
            </w:r>
          </w:p>
        </w:tc>
        <w:tc>
          <w:tcPr/>
          <w:p>
            <w:pPr>
              <w:pStyle w:val="Compact"/>
            </w:pPr>
            <w:r>
              <w:t xml:space="preserve">Dữ liệu cơ bản và dữ liệu nhạy cảm (tài chính, lương, sở hữu vốn, BHXH…)</w:t>
            </w:r>
          </w:p>
        </w:tc>
        <w:tc>
          <w:tcPr/>
          <w:p>
            <w:pPr>
              <w:pStyle w:val="Compact"/>
            </w:pPr>
            <w:r>
              <w:t xml:space="preserve">Điều 5, Phần II</w:t>
            </w:r>
          </w:p>
        </w:tc>
      </w:tr>
      <w:tr>
        <w:tc>
          <w:tcPr/>
          <w:p>
            <w:pPr>
              <w:pStyle w:val="Compact"/>
            </w:pPr>
            <w:r>
              <w:t xml:space="preserve">Mục đích xử lý</w:t>
            </w:r>
          </w:p>
        </w:tc>
        <w:tc>
          <w:tcPr/>
          <w:p>
            <w:pPr>
              <w:pStyle w:val="Compact"/>
            </w:pPr>
            <w:r>
              <w:t xml:space="preserve">Dịch vụ vận hành doanh nghiệp, tư vấn pháp lý, liên hệ khách hàng, tuân thủ pháp luật</w:t>
            </w:r>
          </w:p>
        </w:tc>
        <w:tc>
          <w:tcPr/>
          <w:p>
            <w:pPr>
              <w:pStyle w:val="Compact"/>
            </w:pPr>
            <w:r>
              <w:t xml:space="preserve">Điều 6</w:t>
            </w:r>
          </w:p>
        </w:tc>
      </w:tr>
      <w:tr>
        <w:tc>
          <w:tcPr/>
          <w:p>
            <w:pPr>
              <w:pStyle w:val="Compact"/>
            </w:pPr>
            <w:r>
              <w:t xml:space="preserve">Phương thức xử lý</w:t>
            </w:r>
          </w:p>
        </w:tc>
        <w:tc>
          <w:tcPr/>
          <w:p>
            <w:pPr>
              <w:pStyle w:val="Compact"/>
            </w:pPr>
            <w:r>
              <w:t xml:space="preserve">Trực tiếp từ Quý Khách / từ khách hàng / tự động qua trang web / từ cơ quan có thẩm quyền</w:t>
            </w:r>
          </w:p>
        </w:tc>
        <w:tc>
          <w:tcPr/>
          <w:p>
            <w:pPr>
              <w:pStyle w:val="Compact"/>
            </w:pPr>
            <w:r>
              <w:t xml:space="preserve">Điều 8</w:t>
            </w:r>
          </w:p>
        </w:tc>
      </w:tr>
      <w:tr>
        <w:tc>
          <w:tcPr/>
          <w:p>
            <w:pPr>
              <w:pStyle w:val="Compact"/>
            </w:pPr>
            <w:r>
              <w:t xml:space="preserve">Bên thứ ba được truy cập</w:t>
            </w:r>
          </w:p>
        </w:tc>
        <w:tc>
          <w:tcPr/>
          <w:p>
            <w:pPr>
              <w:pStyle w:val="Compact"/>
            </w:pPr>
            <w:r>
              <w:t xml:space="preserve">Google (hạ tầng đám mây), cơ quan nhà nước, ngân hàng, đối tác chuyên môn</w:t>
            </w:r>
          </w:p>
        </w:tc>
        <w:tc>
          <w:tcPr/>
          <w:p>
            <w:pPr>
              <w:pStyle w:val="Compact"/>
            </w:pPr>
            <w:r>
              <w:t xml:space="preserve">Điều 9</w:t>
            </w:r>
          </w:p>
        </w:tc>
      </w:tr>
      <w:tr>
        <w:tc>
          <w:tcPr/>
          <w:p>
            <w:pPr>
              <w:pStyle w:val="Compact"/>
            </w:pPr>
            <w:r>
              <w:t xml:space="preserve">Quyền của Quý Khách</w:t>
            </w:r>
          </w:p>
        </w:tc>
        <w:tc>
          <w:tcPr/>
          <w:p>
            <w:pPr>
              <w:pStyle w:val="Compact"/>
            </w:pPr>
            <w:r>
              <w:t xml:space="preserve">Được biết, đồng ý/rút đồng ý, truy cập, chỉnh sửa, xóa, hạn chế, phản đối, khiếu nại, bồi thường</w:t>
            </w:r>
          </w:p>
        </w:tc>
        <w:tc>
          <w:tcPr/>
          <w:p>
            <w:pPr>
              <w:pStyle w:val="Compact"/>
            </w:pPr>
            <w:r>
              <w:t xml:space="preserve">Điều 13, 14</w:t>
            </w:r>
          </w:p>
        </w:tc>
      </w:tr>
      <w:tr>
        <w:tc>
          <w:tcPr/>
          <w:p>
            <w:pPr>
              <w:pStyle w:val="Compact"/>
            </w:pPr>
            <w:r>
              <w:t xml:space="preserve">Cơ chế khiếu nại</w:t>
            </w:r>
          </w:p>
        </w:tc>
        <w:tc>
          <w:tcPr/>
          <w:p>
            <w:pPr>
              <w:pStyle w:val="Compact"/>
            </w:pPr>
            <w:r>
              <w:t xml:space="preserve">Liên hệ cán bộ phụ trách bảo vệ dữ liệu cá nhân (DPO) của oBacker;</w:t>
            </w:r>
            <w:r>
              <w:t xml:space="preserve">khiếu nại, tố cáo, khởi kiện theo pháp luật</w:t>
            </w:r>
          </w:p>
        </w:tc>
        <w:tc>
          <w:tcPr/>
          <w:p>
            <w:pPr>
              <w:pStyle w:val="Compact"/>
            </w:pPr>
            <w:r>
              <w:t xml:space="preserve">Điều 20</w:t>
            </w:r>
          </w:p>
        </w:tc>
      </w:tr>
    </w:tbl>
    <w:bookmarkEnd w:id="11"/>
    <w:bookmarkStart w:id="12" w:name="điều-2.-các-thuật-ngữ-cần-biết"/>
    <w:p>
      <w:pPr>
        <w:pStyle w:val="Heading2"/>
      </w:pPr>
      <w:r>
        <w:t xml:space="preserve">Điều 2. Các thuật ngữ cần biết</w:t>
      </w:r>
    </w:p>
    <w:p>
      <w:pPr>
        <w:pStyle w:val="Compact"/>
        <w:numPr>
          <w:ilvl w:val="0"/>
          <w:numId w:val="1001"/>
        </w:numPr>
      </w:pPr>
      <w:r>
        <w:rPr>
          <w:b/>
          <w:bCs/>
        </w:rPr>
        <w:t xml:space="preserve">Dữ liệu cá nhân:</w:t>
      </w:r>
      <w:r>
        <w:t xml:space="preserve"> </w:t>
      </w:r>
      <w:r>
        <w:t xml:space="preserve">thông tin dưới dạng ký hiệu, chữ viết, chữ số, hình ảnh, âm thanh hoặc dạng tương tự gắn liền với hoặc giúp xác định một con người cụ thể. Bao gồm dữ liệu cơ bản và dữ liệu nhạy cảm.</w:t>
      </w:r>
    </w:p>
    <w:p>
      <w:pPr>
        <w:pStyle w:val="Compact"/>
        <w:numPr>
          <w:ilvl w:val="0"/>
          <w:numId w:val="1001"/>
        </w:numPr>
      </w:pPr>
      <w:r>
        <w:rPr>
          <w:b/>
          <w:bCs/>
        </w:rPr>
        <w:t xml:space="preserve">Dữ liệu cá nhân cơ bản:</w:t>
      </w:r>
      <w:r>
        <w:t xml:space="preserve"> </w:t>
      </w:r>
      <w:r>
        <w:t xml:space="preserve">họ tên, ngày sinh, giới tính, nơi cư trú, số điện thoại, email, thông tin tài khoản, dữ liệu hoạt động trên không gian mạng và thông tin khác theo pháp luật.</w:t>
      </w:r>
    </w:p>
    <w:p>
      <w:pPr>
        <w:pStyle w:val="Compact"/>
        <w:numPr>
          <w:ilvl w:val="0"/>
          <w:numId w:val="1001"/>
        </w:numPr>
      </w:pPr>
      <w:r>
        <w:rPr>
          <w:b/>
          <w:bCs/>
        </w:rPr>
        <w:t xml:space="preserve">Dữ liệu cá nhân nhạy cảm:</w:t>
      </w:r>
      <w:r>
        <w:t xml:space="preserve"> </w:t>
      </w:r>
      <w:r>
        <w:t xml:space="preserve">dữ liệu gắn với quyền riêng tư mà khi bị xâm phạm sẽ ảnh hưởng trực tiếp tới quyền và lợi ích hợp pháp của cá nhân (chi tiết tại Phần II).</w:t>
      </w:r>
    </w:p>
    <w:p>
      <w:pPr>
        <w:pStyle w:val="Compact"/>
        <w:numPr>
          <w:ilvl w:val="0"/>
          <w:numId w:val="1001"/>
        </w:numPr>
      </w:pPr>
      <w:r>
        <w:rPr>
          <w:b/>
          <w:bCs/>
        </w:rPr>
        <w:t xml:space="preserve">Chủ thể dữ liệu:</w:t>
      </w:r>
      <w:r>
        <w:t xml:space="preserve"> </w:t>
      </w:r>
      <w:r>
        <w:t xml:space="preserve">cá nhân được dữ liệu cá nhân phản ánh.</w:t>
      </w:r>
    </w:p>
    <w:p>
      <w:pPr>
        <w:pStyle w:val="Compact"/>
        <w:numPr>
          <w:ilvl w:val="0"/>
          <w:numId w:val="1001"/>
        </w:numPr>
      </w:pPr>
      <w:r>
        <w:rPr>
          <w:b/>
          <w:bCs/>
        </w:rPr>
        <w:t xml:space="preserve">Bên Kiểm soát dữ liệu:</w:t>
      </w:r>
      <w:r>
        <w:t xml:space="preserve"> </w:t>
      </w:r>
      <w:r>
        <w:t xml:space="preserve">tổ chức, cá nhân quyết định mục đích và phương tiện xử lý.</w:t>
      </w:r>
    </w:p>
    <w:p>
      <w:pPr>
        <w:pStyle w:val="Compact"/>
        <w:numPr>
          <w:ilvl w:val="0"/>
          <w:numId w:val="1001"/>
        </w:numPr>
      </w:pPr>
      <w:r>
        <w:rPr>
          <w:b/>
          <w:bCs/>
        </w:rPr>
        <w:t xml:space="preserve">Bên Xử lý dữ liệu:</w:t>
      </w:r>
      <w:r>
        <w:t xml:space="preserve"> </w:t>
      </w:r>
      <w:r>
        <w:t xml:space="preserve">tổ chức, cá nhân xử lý dữ liệu thay mặt Bên Kiểm soát thông qua hợp đồng/thỏa thuận.</w:t>
      </w:r>
    </w:p>
    <w:p>
      <w:pPr>
        <w:pStyle w:val="Compact"/>
        <w:numPr>
          <w:ilvl w:val="0"/>
          <w:numId w:val="1001"/>
        </w:numPr>
      </w:pPr>
      <w:r>
        <w:rPr>
          <w:b/>
          <w:bCs/>
        </w:rPr>
        <w:t xml:space="preserve">Bên Kiểm soát và Xử lý dữ liệu:</w:t>
      </w:r>
      <w:r>
        <w:t xml:space="preserve"> </w:t>
      </w:r>
      <w:r>
        <w:t xml:space="preserve">vừa quyết định mục đích, phương tiện, vừa trực tiếp xử lý.</w:t>
      </w:r>
    </w:p>
    <w:p>
      <w:pPr>
        <w:pStyle w:val="Compact"/>
        <w:numPr>
          <w:ilvl w:val="0"/>
          <w:numId w:val="1001"/>
        </w:numPr>
      </w:pPr>
      <w:r>
        <w:rPr>
          <w:b/>
          <w:bCs/>
        </w:rPr>
        <w:t xml:space="preserve">Xử lý dữ liệu cá nhân:</w:t>
      </w:r>
      <w:r>
        <w:t xml:space="preserve"> </w:t>
      </w:r>
      <w:r>
        <w:t xml:space="preserve">thu thập, ghi, phân tích, lưu trữ, chỉnh sửa, công khai, kết hợp, truy cập, truy xuất, thu hồi, mã hóa, sao chép, chia sẻ, truyền đưa, chuyển giao, xóa, hủy dữ liệu…</w:t>
      </w:r>
    </w:p>
    <w:p>
      <w:pPr>
        <w:pStyle w:val="Compact"/>
        <w:numPr>
          <w:ilvl w:val="0"/>
          <w:numId w:val="1001"/>
        </w:numPr>
      </w:pPr>
      <w:r>
        <w:rPr>
          <w:b/>
          <w:bCs/>
        </w:rPr>
        <w:t xml:space="preserve">Sự đồng ý:</w:t>
      </w:r>
      <w:r>
        <w:t xml:space="preserve"> </w:t>
      </w:r>
      <w:r>
        <w:t xml:space="preserve">việc Chủ thể dữ liệu thể hiện rõ ràng, tự nguyện, khẳng định cho phép xử lý dữ liệu của mình.</w:t>
      </w:r>
    </w:p>
    <w:p>
      <w:pPr>
        <w:pStyle w:val="Compact"/>
        <w:numPr>
          <w:ilvl w:val="0"/>
          <w:numId w:val="1001"/>
        </w:numPr>
      </w:pPr>
      <w:r>
        <w:rPr>
          <w:b/>
          <w:bCs/>
        </w:rPr>
        <w:t xml:space="preserve">DPIA:</w:t>
      </w:r>
      <w:r>
        <w:t xml:space="preserve"> </w:t>
      </w:r>
      <w:r>
        <w:t xml:space="preserve">Hồ sơ đánh giá tác động xử lý dữ liệu cá nhân.</w:t>
      </w:r>
      <w:r>
        <w:t xml:space="preserve"> </w:t>
      </w:r>
      <w:r>
        <w:rPr>
          <w:b/>
          <w:bCs/>
        </w:rPr>
        <w:t xml:space="preserve">DTIA:</w:t>
      </w:r>
      <w:r>
        <w:t xml:space="preserve"> </w:t>
      </w:r>
      <w:r>
        <w:t xml:space="preserve">Hồ sơ đánh giá tác động chuyển dữ liệu cá nhân xuyên biên giới.</w:t>
      </w:r>
    </w:p>
    <w:bookmarkEnd w:id="12"/>
    <w:bookmarkStart w:id="13" w:name="điều-3.-cơ-sở-pháp-lý"/>
    <w:p>
      <w:pPr>
        <w:pStyle w:val="Heading2"/>
      </w:pPr>
      <w:r>
        <w:t xml:space="preserve">Điều 3. Cơ sở pháp lý</w:t>
      </w:r>
    </w:p>
    <w:p>
      <w:pPr>
        <w:pStyle w:val="FirstParagraph"/>
      </w:pPr>
      <w:r>
        <w:t xml:space="preserve">Chính sách được xây dựng trên cơ sở pháp luật Việt Nam, bao gồm nhưng không giới hạn: Hiến pháp; Bộ luật Dân sự;</w:t>
      </w:r>
      <w:r>
        <w:t xml:space="preserve"> </w:t>
      </w:r>
      <w:r>
        <w:rPr>
          <w:b/>
          <w:bCs/>
        </w:rPr>
        <w:t xml:space="preserve">Luật Bảo vệ dữ liệu cá nhân số 91/2025/QH15</w:t>
      </w:r>
      <w:r>
        <w:t xml:space="preserve"> </w:t>
      </w:r>
      <w:r>
        <w:t xml:space="preserve">(hiệu lực 01/01/2026);</w:t>
      </w:r>
      <w:r>
        <w:t xml:space="preserve"> </w:t>
      </w:r>
      <w:r>
        <w:rPr>
          <w:b/>
          <w:bCs/>
        </w:rPr>
        <w:t xml:space="preserve">Nghị định số 356/2025/NĐ-CP</w:t>
      </w:r>
      <w:r>
        <w:t xml:space="preserve">; Luật An ninh mạng, Luật An toàn thông tin mạng, Luật Giao dịch điện tử; Luật Kế toán, Luật Quản lý thuế; Bộ luật Lao động, Luật Bảo hiểm xã hội; Luật Đầu tư, Luật Doanh nghiệp; Luật Luật sư và văn bản hướng dẫn (áp dụng cho công ty luật đối tác thực hiện dịch vụ pháp lý, không áp dụng cho tư cách của CTCP oBacker); và các văn bản chuyên ngành liên quan khác.</w:t>
      </w:r>
    </w:p>
    <w:bookmarkEnd w:id="13"/>
    <w:bookmarkStart w:id="14" w:name="X8c2e052461c6aba775e1064f7176a881b9a6c45"/>
    <w:p>
      <w:pPr>
        <w:pStyle w:val="Heading2"/>
      </w:pPr>
      <w:r>
        <w:t xml:space="preserve">Điều 4. Thông tin về Bên Kiểm soát dữ liệu và vai trò của oBacker</w:t>
      </w:r>
    </w:p>
    <w:p>
      <w:pPr>
        <w:pStyle w:val="FirstParagraph"/>
      </w:pPr>
      <w:r>
        <w:rPr>
          <w:b/>
          <w:bCs/>
        </w:rPr>
        <w:t xml:space="preserve">4.1. Thông tin Bên Kiểm soát: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Thông tin</w:t>
            </w:r>
          </w:p>
        </w:tc>
      </w:tr>
      <w:tr>
        <w:tc>
          <w:tcPr/>
          <w:p>
            <w:pPr>
              <w:pStyle w:val="Compact"/>
            </w:pPr>
            <w:r>
              <w:t xml:space="preserve">Tên tổ chức</w:t>
            </w:r>
          </w:p>
        </w:tc>
        <w:tc>
          <w:tcPr/>
          <w:p>
            <w:pPr>
              <w:pStyle w:val="Compact"/>
            </w:pPr>
            <w:r>
              <w:t xml:space="preserve">Công ty cổ phần oBacker</w:t>
            </w:r>
          </w:p>
        </w:tc>
      </w:tr>
      <w:tr>
        <w:tc>
          <w:tcPr/>
          <w:p>
            <w:pPr>
              <w:pStyle w:val="Compact"/>
            </w:pPr>
            <w:r>
              <w:t xml:space="preserve">Mã số doanh nghiệp / MST</w:t>
            </w:r>
          </w:p>
        </w:tc>
        <w:tc>
          <w:tcPr/>
          <w:p>
            <w:pPr>
              <w:pStyle w:val="Compact"/>
            </w:pPr>
            <w:r>
              <w:t xml:space="preserve">0402298185</w:t>
            </w:r>
          </w:p>
        </w:tc>
      </w:tr>
      <w:tr>
        <w:tc>
          <w:tcPr/>
          <w:p>
            <w:pPr>
              <w:pStyle w:val="Compact"/>
            </w:pPr>
            <w:r>
              <w:t xml:space="preserve">Địa chỉ trụ sở</w:t>
            </w:r>
          </w:p>
        </w:tc>
        <w:tc>
          <w:tcPr/>
          <w:p>
            <w:pPr>
              <w:pStyle w:val="Compact"/>
            </w:pPr>
            <w:r>
              <w:t xml:space="preserve">Tầng 2, 06 Trần Phú, Phường Hải Châu, Thành phố Đà Nẵng</w:t>
            </w:r>
          </w:p>
        </w:tc>
      </w:tr>
      <w:tr>
        <w:tc>
          <w:tcPr/>
          <w:p>
            <w:pPr>
              <w:pStyle w:val="Compact"/>
            </w:pPr>
            <w:r>
              <w:t xml:space="preserve">Người đại diện theo pháp luật</w:t>
            </w:r>
          </w:p>
        </w:tc>
        <w:tc>
          <w:tcPr/>
          <w:p>
            <w:pPr>
              <w:pStyle w:val="Compact"/>
            </w:pPr>
            <w:r>
              <w:t xml:space="preserve">Nguyễn Thị Thu Trang, Chủ tịch hội đồng quản trị</w:t>
            </w:r>
          </w:p>
        </w:tc>
      </w:tr>
      <w:tr>
        <w:tc>
          <w:tcPr/>
          <w:p>
            <w:pPr>
              <w:pStyle w:val="Compact"/>
            </w:pPr>
            <w:r>
              <w:t xml:space="preserve">Đầu mối phụ trách bảo vệ dữ liệu cá nhân (DPO)</w:t>
            </w:r>
          </w:p>
        </w:tc>
        <w:tc>
          <w:tcPr/>
          <w:p>
            <w:pPr>
              <w:pStyle w:val="Compact"/>
            </w:pPr>
            <w:r>
              <w:t xml:space="preserve">Nguyễn Thị Thu Trang</w:t>
            </w:r>
          </w:p>
        </w:tc>
      </w:tr>
      <w:tr>
        <w:tc>
          <w:tcPr/>
          <w:p>
            <w:pPr>
              <w:pStyle w:val="Compact"/>
            </w:pPr>
            <w:r>
              <w:t xml:space="preserve">Email phụ trách dữ liệu cá nhân</w:t>
            </w:r>
          </w:p>
        </w:tc>
        <w:tc>
          <w:tcPr/>
          <w:p>
            <w:pPr>
              <w:pStyle w:val="Compact"/>
            </w:pPr>
            <w:r>
              <w:t xml:space="preserve">privacy@obacker.com</w:t>
            </w:r>
          </w:p>
        </w:tc>
      </w:tr>
      <w:tr>
        <w:tc>
          <w:tcPr/>
          <w:p>
            <w:pPr>
              <w:pStyle w:val="Compact"/>
            </w:pPr>
            <w:r>
              <w:t xml:space="preserve">Điện thoại</w:t>
            </w:r>
          </w:p>
        </w:tc>
        <w:tc>
          <w:tcPr/>
          <w:p>
            <w:pPr>
              <w:pStyle w:val="Compact"/>
            </w:pPr>
            <w:r>
              <w:t xml:space="preserve">[___]</w:t>
            </w:r>
          </w:p>
        </w:tc>
      </w:tr>
      <w:tr>
        <w:tc>
          <w:tcPr/>
          <w:p>
            <w:pPr>
              <w:pStyle w:val="Compact"/>
            </w:pPr>
            <w:r>
              <w:t xml:space="preserve">Trang web</w:t>
            </w:r>
          </w:p>
        </w:tc>
        <w:tc>
          <w:tcPr/>
          <w:p>
            <w:pPr>
              <w:pStyle w:val="Compact"/>
            </w:pPr>
            <w:r>
              <w:t xml:space="preserve">obacker.com</w:t>
            </w:r>
          </w:p>
        </w:tc>
      </w:tr>
    </w:tbl>
    <w:p>
      <w:pPr>
        <w:pStyle w:val="BodyText"/>
      </w:pPr>
      <w:r>
        <w:rPr>
          <w:b/>
          <w:bCs/>
        </w:rPr>
        <w:t xml:space="preserve">4.2. Vai trò của oBacker.</w:t>
      </w:r>
      <w:r>
        <w:t xml:space="preserve"> </w:t>
      </w:r>
      <w:r>
        <w:t xml:space="preserve">Tùy tình huống, oBacker có thể đóng một trong các vai trò sau:</w:t>
      </w:r>
    </w:p>
    <w:p>
      <w:pPr>
        <w:pStyle w:val="Compact"/>
        <w:numPr>
          <w:ilvl w:val="0"/>
          <w:numId w:val="1002"/>
        </w:numPr>
      </w:pPr>
      <w:r>
        <w:rPr>
          <w:b/>
          <w:bCs/>
        </w:rPr>
        <w:t xml:space="preserve">(a) Bên Kiểm soát dữ liệu</w:t>
      </w:r>
      <w:r>
        <w:t xml:space="preserve">; khi oBacker xử lý dữ liệu của chính khách hàng, người liên hệ, người dùng trang web, ứng viên, hoặc khi tự quyết định mục đích và phương tiện xử lý</w:t>
      </w:r>
    </w:p>
    <w:p>
      <w:pPr>
        <w:pStyle w:val="Compact"/>
        <w:numPr>
          <w:ilvl w:val="0"/>
          <w:numId w:val="1002"/>
        </w:numPr>
      </w:pPr>
      <w:r>
        <w:rPr>
          <w:b/>
          <w:bCs/>
        </w:rPr>
        <w:t xml:space="preserve">(b) Bên Kiểm soát-Xử lý hoặc Bên Xử lý</w:t>
      </w:r>
      <w:r>
        <w:t xml:space="preserve">; khi oBacker xử lý dữ liệu của người lao động, cổ đông, người được khách hàng ủy quyền, theo chỉ dẫn của khách hàng và trong phạm vi hợp đồng dịch vụ.</w:t>
      </w:r>
    </w:p>
    <w:p>
      <w:pPr>
        <w:pStyle w:val="FirstParagraph"/>
      </w:pPr>
      <w:r>
        <w:rPr>
          <w:b/>
          <w:bCs/>
        </w:rPr>
        <w:t xml:space="preserve">Lưu ý đối với người lao động và cổ đông của khách hàng:</w:t>
      </w:r>
      <w:r>
        <w:t xml:space="preserve"> </w:t>
      </w:r>
      <w:r>
        <w:t xml:space="preserve">khi dữ liệu của Quý Khách được oBacker xử lý theo chỉ dẫn của khách hàng (kê khai TNCN, đóng BHXH, kê khai cổ đông),</w:t>
      </w:r>
      <w:r>
        <w:t xml:space="preserve"> </w:t>
      </w:r>
      <w:r>
        <w:rPr>
          <w:b/>
          <w:bCs/>
        </w:rPr>
        <w:t xml:space="preserve">khách hàng là Bên Kiểm soát dữ liệu chính</w:t>
      </w:r>
      <w:r>
        <w:t xml:space="preserve">. oBacker đóng vai trò Bên Xử lý hoặc Bên Kiểm soát-Xử lý theo hợp đồng, và phối hợp với khách hàng để hỗ trợ Quý Khách thực hiện quyền của Chủ thể dữ liệu.</w:t>
      </w:r>
    </w:p>
    <w:bookmarkEnd w:id="14"/>
    <w:bookmarkStart w:id="15" w:name="X8f8d1cd398771dee6e2932ef471e19987b1458a"/>
    <w:p>
      <w:pPr>
        <w:pStyle w:val="Heading2"/>
      </w:pPr>
      <w:r>
        <w:t xml:space="preserve">Điều 5. Các loại dữ liệu cá nhân được xử lý</w:t>
      </w:r>
    </w:p>
    <w:p>
      <w:pPr>
        <w:pStyle w:val="FirstParagraph"/>
      </w:pPr>
      <w:r>
        <w:rPr>
          <w:b/>
          <w:bCs/>
        </w:rPr>
        <w:t xml:space="preserve">5.1. Dữ liệu cá nhân cơ bản:</w:t>
      </w:r>
      <w:r>
        <w:t xml:space="preserve"> </w:t>
      </w:r>
      <w:r>
        <w:t xml:space="preserve">họ tên, ngày sinh, giới tính, quốc tịch; số CCCD/CMND/Hộ chiếu và ảnh kèm theo (khi cần cho thủ tục pháp lý/cấp phép); số điện thoại, email; mã số thuế cá nhân; chức vụ, đơn vị công tác; thông tin tài khoản đăng nhập công cụ, hệ thống của oBacker (mật khẩu ở dạng mã hóa); dữ liệu hoạt động trên không gian mạng (địa chỉ IP, thiết bị, cookie, lịch sử truy cập); thông tin người phụ thuộc (cho giảm trừ gia cảnh TNCN); hồ sơ ứng tuyển (sơ yếu lý lịch, thư xin việc, trình độ học vấn, kinh nghiệm).</w:t>
      </w:r>
    </w:p>
    <w:p>
      <w:pPr>
        <w:pStyle w:val="BodyText"/>
      </w:pPr>
      <w:r>
        <w:rPr>
          <w:b/>
          <w:bCs/>
        </w:rPr>
        <w:t xml:space="preserve">5.2. Dữ liệu cá nhân nhạy cảm.</w:t>
      </w:r>
      <w:r>
        <w:t xml:space="preserve"> </w:t>
      </w:r>
      <w:r>
        <w:t xml:space="preserve">Do đặc thù dịch vụ vận hành doanh nghiệp, việc xử lý dữ liệu nhạy cảm diễn ra liên tục trong quá trình cung cấp Dịch Vụ. Chi tiết về loại, mục đích và biện pháp bảo vệ tăng cường được nêu tại</w:t>
      </w:r>
      <w:r>
        <w:t xml:space="preserve"> </w:t>
      </w:r>
      <w:r>
        <w:rPr>
          <w:b/>
          <w:bCs/>
        </w:rPr>
        <w:t xml:space="preserve">Phần II</w:t>
      </w:r>
      <w:r>
        <w:t xml:space="preserve">.</w:t>
      </w:r>
    </w:p>
    <w:p>
      <w:pPr>
        <w:pStyle w:val="BlockText"/>
      </w:pPr>
      <w:r>
        <w:t xml:space="preserve">oBacker</w:t>
      </w:r>
      <w:r>
        <w:t xml:space="preserve"> </w:t>
      </w:r>
      <w:r>
        <w:rPr>
          <w:b/>
          <w:bCs/>
        </w:rPr>
        <w:t xml:space="preserve">CHỈ</w:t>
      </w:r>
      <w:r>
        <w:t xml:space="preserve"> </w:t>
      </w:r>
      <w:r>
        <w:t xml:space="preserve">xử lý dữ liệu nhạy cảm khi thực sự cần thiết, có cơ sở pháp lý phù hợp và sau khi đã thông báo rõ. oBacker</w:t>
      </w:r>
      <w:r>
        <w:t xml:space="preserve"> </w:t>
      </w:r>
      <w:r>
        <w:rPr>
          <w:b/>
          <w:bCs/>
        </w:rPr>
        <w:t xml:space="preserve">KHÔNG</w:t>
      </w:r>
      <w:r>
        <w:t xml:space="preserve"> </w:t>
      </w:r>
      <w:r>
        <w:t xml:space="preserve">chủ động thu thập dữ liệu về quan điểm chính trị, tôn giáo, chủng tộc, đời sống/xu hướng tình dục.</w:t>
      </w:r>
    </w:p>
    <w:bookmarkEnd w:id="15"/>
    <w:bookmarkStart w:id="16" w:name="điều-6.-mục-đích-xử-lý-dữ-liệu-cá-nhân"/>
    <w:p>
      <w:pPr>
        <w:pStyle w:val="Heading2"/>
      </w:pPr>
      <w:r>
        <w:t xml:space="preserve">Điều 6. Mục đích xử lý dữ liệu cá nhân</w:t>
      </w:r>
    </w:p>
    <w:p>
      <w:pPr>
        <w:pStyle w:val="FirstParagraph"/>
      </w:pPr>
      <w:r>
        <w:t xml:space="preserve">oBacker xử lý dữ liệu cá nhân để: xử lý hồ sơ kế toán, kê khai thuế, BCTC; xử lý tiền lương, kê khai TNCN, đóng BHXH/BHYT/BHTN cho NLĐ của khách hàng; tư vấn pháp lý; thực hiện thủ tục cấp phép đầu tư (IRC), đăng ký kinh doanh (ERC), giấy phép con; thực hiện thủ tục về cổ đông, vốn góp, mua bán và sáp nhập (M&amp;A), chuyển nhượng; đại diện trước cơ quan nhà nước theo ủy quyền; tạo lập và quản lý tài khoản người dùng; liên hệ, hỗ trợ, xử lý khiếu nại; gửi thông tin dịch vụ/cập nhật pháp lý (khi Quý Khách đồng ý); tuyển dụng; phân tích và cải thiện dịch vụ; lưu trữ chứng từ theo nghĩa vụ pháp lý; bảo đảm an ninh thông tin; và thực hiện nghĩa vụ pháp lý cùng yêu cầu hợp pháp của cơ quan nhà nước.</w:t>
      </w:r>
    </w:p>
    <w:p>
      <w:pPr>
        <w:pStyle w:val="BlockText"/>
      </w:pPr>
      <w:r>
        <w:rPr>
          <w:b/>
          <w:bCs/>
        </w:rPr>
        <w:t xml:space="preserve">Cam kết:</w:t>
      </w:r>
      <w:r>
        <w:t xml:space="preserve"> </w:t>
      </w:r>
      <w:r>
        <w:t xml:space="preserve">oBacker chỉ xử lý dữ liệu đúng mục đích đã thông báo. Khi cần xử lý cho mục đích khác, oBacker sẽ thông báo và xin sự đồng ý trước (trừ trường hợp pháp luật quy định khác).</w:t>
      </w:r>
    </w:p>
    <w:bookmarkEnd w:id="16"/>
    <w:bookmarkStart w:id="17" w:name="Xaf5b6df76aad0324317825be34fb7824d53b89e"/>
    <w:p>
      <w:pPr>
        <w:pStyle w:val="Heading2"/>
      </w:pPr>
      <w:r>
        <w:t xml:space="preserve">Điều 7. Cơ sở xử lý và sự đồng ý của Quý Khách</w:t>
      </w:r>
    </w:p>
    <w:p>
      <w:pPr>
        <w:pStyle w:val="FirstParagraph"/>
      </w:pPr>
      <w:r>
        <w:rPr>
          <w:b/>
          <w:bCs/>
        </w:rPr>
        <w:t xml:space="preserve">7.1. Cơ sở xử lý:</w:t>
      </w:r>
      <w:r>
        <w:t xml:space="preserve"> </w:t>
      </w:r>
      <w:r>
        <w:t xml:space="preserve">(i) sự đồng ý của Quý Khách; (ii) thực hiện hợp đồng với Quý Khách hoặc giữa khách hàng và oBacker; (iii) thực hiện nghĩa vụ pháp lý của oBacker hoặc của khách hàng (kê khai thuế, đóng BHXH, công bố cổ đông, lưu chứng từ); (iv) bảo vệ tính mạng, sức khỏe (lợi ích sống còn); (v) lợi ích công cộng và an ninh quốc gia khi pháp luật cho phép; (vi) các trường hợp khác pháp luật cho phép xử lý không cần đồng ý.</w:t>
      </w:r>
    </w:p>
    <w:p>
      <w:pPr>
        <w:pStyle w:val="BodyText"/>
      </w:pPr>
      <w:r>
        <w:rPr>
          <w:b/>
          <w:bCs/>
        </w:rPr>
        <w:t xml:space="preserve">7.2.</w:t>
      </w:r>
      <w:r>
        <w:t xml:space="preserve"> </w:t>
      </w:r>
      <w:r>
        <w:t xml:space="preserve">Khi sự đồng ý là cơ sở áp dụng, oBacker bảo đảm sự đồng ý được đưa ra tự nguyện, rõ ràng, cụ thể, và Quý Khách được biết đầy đủ về: loại dữ liệu, mục đích, tổ chức/cá nhân được chia sẻ, thời gian lưu trữ, quyền và nghĩa vụ của Quý Khách.</w:t>
      </w:r>
      <w:r>
        <w:t xml:space="preserve"> </w:t>
      </w:r>
      <w:r>
        <w:rPr>
          <w:b/>
          <w:bCs/>
        </w:rPr>
        <w:t xml:space="preserve">Sự im lặng hoặc không phản hồi không được coi là đồng ý.</w:t>
      </w:r>
      <w:r>
        <w:t xml:space="preserve"> </w:t>
      </w:r>
      <w:r>
        <w:t xml:space="preserve">Quý Khách có quyền rút lại sự đồng ý bất kỳ lúc nào; việc rút lại không ảnh hưởng đến tính hợp pháp của hoạt động xử lý đã thực hiện trước đó.</w:t>
      </w:r>
    </w:p>
    <w:bookmarkEnd w:id="17"/>
    <w:bookmarkStart w:id="18" w:name="Xc67f22073d18d57614b90b9ab0964577a8f12b8"/>
    <w:p>
      <w:pPr>
        <w:pStyle w:val="Heading2"/>
      </w:pPr>
      <w:r>
        <w:t xml:space="preserve">Điều 8. Cách thức thu thập dữ liệu cá nhân</w:t>
      </w:r>
    </w:p>
    <w:p>
      <w:pPr>
        <w:pStyle w:val="FirstParagraph"/>
      </w:pPr>
      <w:r>
        <w:t xml:space="preserve">oBacker thu thập dữ liệu: trực tiếp từ Quý Khách (ký hợp đồng, liên hệ, điền biểu mẫu, gửi hồ sơ ứng tuyển); từ khách hàng của oBacker (cung cấp dữ liệu NLĐ, cổ đông, người phụ thuộc để xử lý dịch vụ thay); tự động qua trang web (cookie, nhật ký hệ thống); và từ bên thứ ba hợp pháp (cơ quan nhà nước khi xác minh, đối tác chuyên môn được khách hàng ủy quyền, nguồn công khai hợp pháp).</w:t>
      </w:r>
    </w:p>
    <w:p>
      <w:pPr>
        <w:pStyle w:val="BlockText"/>
      </w:pPr>
      <w:r>
        <w:rPr>
          <w:b/>
          <w:bCs/>
        </w:rPr>
        <w:t xml:space="preserve">Lưu ý:</w:t>
      </w:r>
      <w:r>
        <w:t xml:space="preserve"> </w:t>
      </w:r>
      <w:r>
        <w:t xml:space="preserve">Khách hàng (đơn vị sử dụng lao động hoặc công ty mà Quý Khách là cổ đông) có trách nhiệm thông báo cho Quý Khách và thu thập sự đồng ý theo quy định trước khi cung cấp dữ liệu cho oBacker. oBacker yêu cầu khách hàng cam kết trách nhiệm này trong hợp đồng dịch vụ.</w:t>
      </w:r>
    </w:p>
    <w:bookmarkEnd w:id="18"/>
    <w:bookmarkStart w:id="19" w:name="Xe13e92b18f2a210f21299619348e1a1db35edf2"/>
    <w:p>
      <w:pPr>
        <w:pStyle w:val="Heading2"/>
      </w:pPr>
      <w:r>
        <w:t xml:space="preserve">Điều 9. Chia sẻ và tiết lộ dữ liệu cá nhân</w:t>
      </w:r>
    </w:p>
    <w:p>
      <w:pPr>
        <w:pStyle w:val="FirstParagraph"/>
      </w:pPr>
      <w:r>
        <w:t xml:space="preserve">oBacker</w:t>
      </w:r>
      <w:r>
        <w:t xml:space="preserve"> </w:t>
      </w:r>
      <w:r>
        <w:rPr>
          <w:b/>
          <w:bCs/>
        </w:rPr>
        <w:t xml:space="preserve">không bán</w:t>
      </w:r>
      <w:r>
        <w:t xml:space="preserve"> </w:t>
      </w:r>
      <w:r>
        <w:t xml:space="preserve">dữ liệu cá nhân của Quý Khách, và chỉ chia sẻ theo các trường hợp sau: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 bên nhận</w:t>
            </w:r>
          </w:p>
        </w:tc>
        <w:tc>
          <w:tcPr/>
          <w:p>
            <w:pPr>
              <w:pStyle w:val="Compact"/>
            </w:pPr>
            <w:r>
              <w:t xml:space="preserve">Mục đích</w:t>
            </w:r>
          </w:p>
        </w:tc>
        <w:tc>
          <w:tcPr/>
          <w:p>
            <w:pPr>
              <w:pStyle w:val="Compact"/>
            </w:pPr>
            <w:r>
              <w:t xml:space="preserve">Cơ sở / Ràng buộc</w:t>
            </w:r>
          </w:p>
        </w:tc>
      </w:tr>
      <w:tr>
        <w:tc>
          <w:tcPr/>
          <w:p>
            <w:pPr>
              <w:pStyle w:val="Compact"/>
            </w:pPr>
            <w:r>
              <w:t xml:space="preserve">Nhân sự nội bộ oBacker được phân quyền</w:t>
            </w:r>
          </w:p>
        </w:tc>
        <w:tc>
          <w:tcPr/>
          <w:p>
            <w:pPr>
              <w:pStyle w:val="Compact"/>
            </w:pPr>
            <w:r>
              <w:t xml:space="preserve">Cung cấp dịch vụ theo nguyên tắc cần biết</w:t>
            </w:r>
          </w:p>
        </w:tc>
        <w:tc>
          <w:tcPr/>
          <w:p>
            <w:pPr>
              <w:pStyle w:val="Compact"/>
            </w:pPr>
            <w:r>
              <w:t xml:space="preserve">Thỏa thuận bảo mật (NDA), đào tạo định kỳ về bảo vệ dữ liệu cá nhân</w:t>
            </w:r>
          </w:p>
        </w:tc>
      </w:tr>
      <w:tr>
        <w:tc>
          <w:tcPr/>
          <w:p>
            <w:pPr>
              <w:pStyle w:val="Compact"/>
            </w:pPr>
            <w:r>
              <w:t xml:space="preserve">Khách hàng (với dữ liệu NLĐ, cổ đông của họ)</w:t>
            </w:r>
          </w:p>
        </w:tc>
        <w:tc>
          <w:tcPr/>
          <w:p>
            <w:pPr>
              <w:pStyle w:val="Compact"/>
            </w:pPr>
            <w:r>
              <w:t xml:space="preserve">Trả kết quả, báo cáo, hồ sơ đã xử lý</w:t>
            </w:r>
          </w:p>
        </w:tc>
        <w:tc>
          <w:tcPr/>
          <w:p>
            <w:pPr>
              <w:pStyle w:val="Compact"/>
            </w:pPr>
            <w:r>
              <w:t xml:space="preserve">Hợp đồng dịch vụ</w:t>
            </w:r>
          </w:p>
        </w:tc>
      </w:tr>
      <w:tr>
        <w:tc>
          <w:tcPr/>
          <w:p>
            <w:pPr>
              <w:pStyle w:val="Compact"/>
            </w:pPr>
            <w:r>
              <w:t xml:space="preserve">Google (hạ tầng đám mây)</w:t>
            </w:r>
          </w:p>
        </w:tc>
        <w:tc>
          <w:tcPr/>
          <w:p>
            <w:pPr>
              <w:pStyle w:val="Compact"/>
            </w:pPr>
            <w:r>
              <w:t xml:space="preserve">Lưu trữ, xử lý trên Google Workspace</w:t>
            </w:r>
          </w:p>
        </w:tc>
        <w:tc>
          <w:tcPr/>
          <w:p>
            <w:pPr>
              <w:pStyle w:val="Compact"/>
            </w:pPr>
            <w:r>
              <w:t xml:space="preserve">Điều khoản dịch vụ + thỏa thuận xử lý dữ liệu (DPA) của Google + biện pháp kỹ thuật của oBacker</w:t>
            </w:r>
          </w:p>
        </w:tc>
      </w:tr>
      <w:tr>
        <w:tc>
          <w:tcPr/>
          <w:p>
            <w:pPr>
              <w:pStyle w:val="Compact"/>
            </w:pPr>
            <w:r>
              <w:t xml:space="preserve">Cơ quan nhà nước có thẩm quyền</w:t>
            </w:r>
          </w:p>
        </w:tc>
        <w:tc>
          <w:tcPr/>
          <w:p>
            <w:pPr>
              <w:pStyle w:val="Compact"/>
            </w:pPr>
            <w:r>
              <w:t xml:space="preserve">Yêu cầu hợp pháp;</w:t>
            </w:r>
            <w:r>
              <w:t xml:space="preserve">nghĩa vụ kê khai, báo cáo</w:t>
            </w:r>
          </w:p>
        </w:tc>
        <w:tc>
          <w:tcPr/>
          <w:p>
            <w:pPr>
              <w:pStyle w:val="Compact"/>
            </w:pPr>
            <w:r>
              <w:t xml:space="preserve">Theo quy định pháp luật</w:t>
            </w:r>
          </w:p>
        </w:tc>
      </w:tr>
      <w:tr>
        <w:tc>
          <w:tcPr/>
          <w:p>
            <w:pPr>
              <w:pStyle w:val="Compact"/>
            </w:pPr>
            <w:r>
              <w:t xml:space="preserve">Ngân hàng, tổ chức thanh toán</w:t>
            </w:r>
          </w:p>
        </w:tc>
        <w:tc>
          <w:tcPr/>
          <w:p>
            <w:pPr>
              <w:pStyle w:val="Compact"/>
            </w:pPr>
            <w:r>
              <w:t xml:space="preserve">Chi lương, nộp thuế/BHXH theo ủy quyền</w:t>
            </w:r>
          </w:p>
        </w:tc>
        <w:tc>
          <w:tcPr/>
          <w:p>
            <w:pPr>
              <w:pStyle w:val="Compact"/>
            </w:pPr>
            <w:r>
              <w:t xml:space="preserve">Ủy quyền của khách hàng + pháp luật</w:t>
            </w:r>
          </w:p>
        </w:tc>
      </w:tr>
      <w:tr>
        <w:tc>
          <w:tcPr/>
          <w:p>
            <w:pPr>
              <w:pStyle w:val="Compact"/>
            </w:pPr>
            <w:r>
              <w:t xml:space="preserve">Đối tác chuyên môn (kiểm toán, công chứng, dịch thuật, VP luật)</w:t>
            </w:r>
          </w:p>
        </w:tc>
        <w:tc>
          <w:tcPr/>
          <w:p>
            <w:pPr>
              <w:pStyle w:val="Compact"/>
            </w:pPr>
            <w:r>
              <w:t xml:space="preserve">Hoàn tất công việc cụ thể</w:t>
            </w:r>
          </w:p>
        </w:tc>
        <w:tc>
          <w:tcPr/>
          <w:p>
            <w:pPr>
              <w:pStyle w:val="Compact"/>
            </w:pPr>
            <w:r>
              <w:t xml:space="preserve">Hợp đồng có điều khoản bảo mật</w:t>
            </w:r>
          </w:p>
        </w:tc>
      </w:tr>
      <w:tr>
        <w:tc>
          <w:tcPr/>
          <w:p>
            <w:pPr>
              <w:pStyle w:val="Compact"/>
            </w:pPr>
            <w:r>
              <w:t xml:space="preserve">Bên thứ ba khác</w:t>
            </w:r>
          </w:p>
        </w:tc>
        <w:tc>
          <w:tcPr/>
          <w:p>
            <w:pPr>
              <w:pStyle w:val="Compact"/>
            </w:pPr>
            <w:r>
              <w:t xml:space="preserve">Khi có đồng ý của Quý Khách hoặc theo pháp luật</w:t>
            </w:r>
          </w:p>
        </w:tc>
        <w:tc>
          <w:tcPr/>
          <w:p>
            <w:pPr>
              <w:pStyle w:val="Compact"/>
            </w:pPr>
            <w:r>
              <w:t xml:space="preserve">Theo đồng ý hoặc cơ sở pháp lý cụ thể</w:t>
            </w:r>
          </w:p>
        </w:tc>
      </w:tr>
    </w:tbl>
    <w:p>
      <w:pPr>
        <w:pStyle w:val="BodyText"/>
      </w:pPr>
      <w:r>
        <w:t xml:space="preserve">Trường hợp bên nhận là Bên Xử lý thay mặt oBacker, oBacker ký kết Hợp đồng/Phụ lục xử lý dữ liệu (DPA) ràng buộc nghĩa vụ bảo vệ dữ liệu.</w:t>
      </w:r>
    </w:p>
    <w:bookmarkEnd w:id="19"/>
    <w:bookmarkStart w:id="20" w:name="X231b007ce92d2f10c3dad120f4e889216dea3aa"/>
    <w:p>
      <w:pPr>
        <w:pStyle w:val="Heading2"/>
      </w:pPr>
      <w:r>
        <w:t xml:space="preserve">Điều 10. Lưu trữ trên điện toán đám mây và chuyển dữ liệu xuyên biên giới</w:t>
      </w:r>
    </w:p>
    <w:p>
      <w:pPr>
        <w:pStyle w:val="FirstParagraph"/>
      </w:pPr>
      <w:r>
        <w:rPr>
          <w:b/>
          <w:bCs/>
        </w:rPr>
        <w:t xml:space="preserve">10.1. Hạ tầng lưu trữ.</w:t>
      </w:r>
      <w:r>
        <w:t xml:space="preserve"> </w:t>
      </w:r>
      <w:r>
        <w:t xml:space="preserve">oBacker sử dụng</w:t>
      </w:r>
      <w:r>
        <w:t xml:space="preserve"> </w:t>
      </w:r>
      <w:r>
        <w:rPr>
          <w:b/>
          <w:bCs/>
        </w:rPr>
        <w:t xml:space="preserve">Google Workspace</w:t>
      </w:r>
      <w:r>
        <w:t xml:space="preserve"> </w:t>
      </w:r>
      <w:r>
        <w:t xml:space="preserve">(Drive, Gmail, Docs, Sheets…) làm hạ tầng lưu trữ và xử lý chính. oBacker không sử dụng phần mềm dịch vụ (SaaS) của bên thứ ba nào khác để xử lý dữ liệu của khách hàng, ngoài Google với vai trò hạ tầng điện toán đám mây.</w:t>
      </w:r>
    </w:p>
    <w:p>
      <w:pPr>
        <w:pStyle w:val="BodyText"/>
      </w:pPr>
      <w:r>
        <w:rPr>
          <w:b/>
          <w:bCs/>
        </w:rPr>
        <w:t xml:space="preserve">10.2. Chuyển dữ liệu xuyên biên giới.</w:t>
      </w:r>
      <w:r>
        <w:t xml:space="preserve"> </w:t>
      </w:r>
      <w:r>
        <w:t xml:space="preserve">Vì hạ tầng Google có thể lưu trữ/xử lý dữ liệu ngoài lãnh thổ Việt Nam, hoạt động của oBacker có liên quan đến chuyển dữ liệu cá nhân xuyên biên giới. oBacker cam kết:</w:t>
      </w:r>
    </w:p>
    <w:p>
      <w:pPr>
        <w:pStyle w:val="Compact"/>
        <w:numPr>
          <w:ilvl w:val="0"/>
          <w:numId w:val="1003"/>
        </w:numPr>
      </w:pPr>
      <w:r>
        <w:t xml:space="preserve">Lập, lưu giữ và sẵn sàng nộp</w:t>
      </w:r>
      <w:r>
        <w:t xml:space="preserve"> </w:t>
      </w:r>
      <w:r>
        <w:rPr>
          <w:b/>
          <w:bCs/>
        </w:rPr>
        <w:t xml:space="preserve">Hồ sơ đánh giá tác động chuyển dữ liệu xuyên biên giới (DTIA)</w:t>
      </w:r>
      <w:r>
        <w:t xml:space="preserve"> </w:t>
      </w:r>
      <w:r>
        <w:t xml:space="preserve">cho cơ quan có thẩm quyền trong</w:t>
      </w:r>
      <w:r>
        <w:t xml:space="preserve"> </w:t>
      </w:r>
      <w:r>
        <w:rPr>
          <w:b/>
          <w:bCs/>
        </w:rPr>
        <w:t xml:space="preserve">60 ngày</w:t>
      </w:r>
      <w:r>
        <w:t xml:space="preserve"> </w:t>
      </w:r>
      <w:r>
        <w:t xml:space="preserve">kể từ ngày chuyển, theo Nghị định 356/2025/NĐ-CP</w:t>
      </w:r>
    </w:p>
    <w:p>
      <w:pPr>
        <w:pStyle w:val="Compact"/>
        <w:numPr>
          <w:ilvl w:val="0"/>
          <w:numId w:val="1003"/>
        </w:numPr>
      </w:pPr>
      <w:r>
        <w:t xml:space="preserve">Tự đánh giá năng lực bảo vệ dữ liệu của Google (chứng nhận ISO 27001, SOC 2…, Điều khoản dịch vụ và DPA của Google)</w:t>
      </w:r>
    </w:p>
    <w:p>
      <w:pPr>
        <w:pStyle w:val="Compact"/>
        <w:numPr>
          <w:ilvl w:val="0"/>
          <w:numId w:val="1003"/>
        </w:numPr>
      </w:pPr>
      <w:r>
        <w:t xml:space="preserve">Thực hiện thủ tục pháp lý với cơ quan có thẩm quyền khi cần</w:t>
      </w:r>
    </w:p>
    <w:p>
      <w:pPr>
        <w:pStyle w:val="Compact"/>
        <w:numPr>
          <w:ilvl w:val="0"/>
          <w:numId w:val="1003"/>
        </w:numPr>
      </w:pPr>
      <w:r>
        <w:t xml:space="preserve">Áp dụng biện pháp bảo đảm an toàn: mã hóa khi truyền tải (TLS) và khi lưu trữ, kiểm soát truy cập, xác thực đa yếu tố (MFA), giám sát nhật ký.</w:t>
      </w:r>
    </w:p>
    <w:p>
      <w:pPr>
        <w:pStyle w:val="FirstParagraph"/>
      </w:pPr>
      <w:r>
        <w:t xml:space="preserve">Với việc chuyển sang bên thứ ba khác (ngoài Google), oBacker thực hiện DTIA riêng, thông báo cho Quý Khách nếu cần và bảo đảm điều kiện chuyển hợp pháp.</w:t>
      </w:r>
    </w:p>
    <w:bookmarkEnd w:id="20"/>
    <w:bookmarkStart w:id="21" w:name="X9c59e5f8a6c1d1fa7dc3b1272b0f76ae898e1fb"/>
    <w:p>
      <w:pPr>
        <w:pStyle w:val="Heading2"/>
      </w:pPr>
      <w:r>
        <w:t xml:space="preserve">Điều 11. Thời gian lưu trữ dữ liệu cá nhân</w:t>
      </w:r>
    </w:p>
    <w:p>
      <w:pPr>
        <w:pStyle w:val="FirstParagraph"/>
      </w:pPr>
      <w:r>
        <w:t xml:space="preserve">oBacker chỉ lưu trữ dữ liệu trong thời gian cần thiết cho mục đích xử lý hoặc theo thời hạn pháp luật yêu cầu. Một số hồ sơ phải lưu theo thời hạn pháp luật chuyên ngành, ngay cả khi Quý Khách yêu cầu xóa: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Loại dữ liệu / hồ sơ</w:t>
            </w:r>
          </w:p>
        </w:tc>
        <w:tc>
          <w:tcPr/>
          <w:p>
            <w:pPr>
              <w:pStyle w:val="Compact"/>
            </w:pPr>
            <w:r>
              <w:t xml:space="preserve">Thời gian lưu trữ</w:t>
            </w:r>
          </w:p>
        </w:tc>
        <w:tc>
          <w:tcPr/>
          <w:p>
            <w:pPr>
              <w:pStyle w:val="Compact"/>
            </w:pPr>
            <w:r>
              <w:t xml:space="preserve">Căn cứ</w:t>
            </w:r>
          </w:p>
        </w:tc>
      </w:tr>
      <w:tr>
        <w:tc>
          <w:tcPr/>
          <w:p>
            <w:pPr>
              <w:pStyle w:val="Compact"/>
            </w:pPr>
            <w:r>
              <w:t xml:space="preserve">Chứng từ kế toán phụ trợ (không trực tiếp ghi sổ)</w:t>
            </w:r>
          </w:p>
        </w:tc>
        <w:tc>
          <w:tcPr/>
          <w:p>
            <w:pPr>
              <w:pStyle w:val="Compact"/>
            </w:pPr>
            <w:r>
              <w:t xml:space="preserve">Tối thiểu 5 năm</w:t>
            </w:r>
          </w:p>
        </w:tc>
        <w:tc>
          <w:tcPr/>
          <w:p>
            <w:pPr>
              <w:pStyle w:val="Compact"/>
            </w:pPr>
            <w:r>
              <w:t xml:space="preserve">Luật Kế toán</w:t>
            </w:r>
          </w:p>
        </w:tc>
      </w:tr>
      <w:tr>
        <w:tc>
          <w:tcPr/>
          <w:p>
            <w:pPr>
              <w:pStyle w:val="Compact"/>
            </w:pPr>
            <w:r>
              <w:t xml:space="preserve">Chứng từ trực tiếp ghi sổ, BCTC, sổ kế toán</w:t>
            </w:r>
          </w:p>
        </w:tc>
        <w:tc>
          <w:tcPr/>
          <w:p>
            <w:pPr>
              <w:pStyle w:val="Compact"/>
            </w:pPr>
            <w:r>
              <w:t xml:space="preserve">Tối thiểu 10 năm</w:t>
            </w:r>
          </w:p>
        </w:tc>
        <w:tc>
          <w:tcPr/>
          <w:p>
            <w:pPr>
              <w:pStyle w:val="Compact"/>
            </w:pPr>
            <w:r>
              <w:t xml:space="preserve">Luật Kế toán</w:t>
            </w:r>
          </w:p>
        </w:tc>
      </w:tr>
      <w:tr>
        <w:tc>
          <w:tcPr/>
          <w:p>
            <w:pPr>
              <w:pStyle w:val="Compact"/>
            </w:pPr>
            <w:r>
              <w:t xml:space="preserve">Hồ sơ thuế, tờ khai thuế</w:t>
            </w:r>
          </w:p>
        </w:tc>
        <w:tc>
          <w:tcPr/>
          <w:p>
            <w:pPr>
              <w:pStyle w:val="Compact"/>
            </w:pPr>
            <w:r>
              <w:t xml:space="preserve">Theo Luật Quản lý thuế</w:t>
            </w:r>
          </w:p>
        </w:tc>
        <w:tc>
          <w:tcPr/>
          <w:p>
            <w:pPr>
              <w:pStyle w:val="Compact"/>
            </w:pPr>
            <w:r>
              <w:t xml:space="preserve">Luật Quản lý thuế</w:t>
            </w:r>
          </w:p>
        </w:tc>
      </w:tr>
      <w:tr>
        <w:tc>
          <w:tcPr/>
          <w:p>
            <w:pPr>
              <w:pStyle w:val="Compact"/>
            </w:pPr>
            <w:r>
              <w:t xml:space="preserve">Hồ sơ BHXH, BHYT, BHTN</w:t>
            </w:r>
          </w:p>
        </w:tc>
        <w:tc>
          <w:tcPr/>
          <w:p>
            <w:pPr>
              <w:pStyle w:val="Compact"/>
            </w:pPr>
            <w:r>
              <w:t xml:space="preserve">Theo quy định BHXH Việt Nam</w:t>
            </w:r>
          </w:p>
        </w:tc>
        <w:tc>
          <w:tcPr/>
          <w:p>
            <w:pPr>
              <w:pStyle w:val="Compact"/>
            </w:pPr>
            <w:r>
              <w:t xml:space="preserve">Luật BHXH</w:t>
            </w:r>
          </w:p>
        </w:tc>
      </w:tr>
      <w:tr>
        <w:tc>
          <w:tcPr/>
          <w:p>
            <w:pPr>
              <w:pStyle w:val="Compact"/>
            </w:pPr>
            <w:r>
              <w:t xml:space="preserve">Hồ sơ tư vấn pháp lý, hợp đồng dịch vụ pháp lý</w:t>
            </w:r>
          </w:p>
        </w:tc>
        <w:tc>
          <w:tcPr/>
          <w:p>
            <w:pPr>
              <w:pStyle w:val="Compact"/>
            </w:pPr>
            <w:r>
              <w:t xml:space="preserve">Theo hợp đồng dịch vụ và pháp luật liên quan;</w:t>
            </w:r>
            <w:r>
              <w:t xml:space="preserve">hồ sơ do công ty luật đối tác lưu giữ áp dụng thời hạn theo Luật Luật sư</w:t>
            </w:r>
          </w:p>
        </w:tc>
        <w:tc>
          <w:tcPr/>
          <w:p>
            <w:pPr>
              <w:pStyle w:val="Compact"/>
            </w:pPr>
            <w:r>
              <w:t xml:space="preserve">Hợp đồng / Luật Luật sư (đối tác)</w:t>
            </w:r>
          </w:p>
        </w:tc>
      </w:tr>
      <w:tr>
        <w:tc>
          <w:tcPr/>
          <w:p>
            <w:pPr>
              <w:pStyle w:val="Compact"/>
            </w:pPr>
            <w:r>
              <w:t xml:space="preserve">Hồ sơ ứng tuyển (không trúng tuyển)</w:t>
            </w:r>
          </w:p>
        </w:tc>
        <w:tc>
          <w:tcPr/>
          <w:p>
            <w:pPr>
              <w:pStyle w:val="Compact"/>
            </w:pPr>
            <w:r>
              <w:t xml:space="preserve">Tối đa 24 tháng</w:t>
            </w:r>
          </w:p>
        </w:tc>
        <w:tc>
          <w:tcPr/>
          <w:p>
            <w:pPr>
              <w:pStyle w:val="Compact"/>
            </w:pPr>
            <w:r>
              <w:t xml:space="preserve">Chính sách oBacker</w:t>
            </w:r>
          </w:p>
        </w:tc>
      </w:tr>
      <w:tr>
        <w:tc>
          <w:tcPr/>
          <w:p>
            <w:pPr>
              <w:pStyle w:val="Compact"/>
            </w:pPr>
            <w:r>
              <w:t xml:space="preserve">Dữ liệu tiếp thị, thông tin khách hàng tiềm năng</w:t>
            </w:r>
          </w:p>
        </w:tc>
        <w:tc>
          <w:tcPr/>
          <w:p>
            <w:pPr>
              <w:pStyle w:val="Compact"/>
            </w:pPr>
            <w:r>
              <w:t xml:space="preserve">Đến khi rút đồng ý hoặc 24 tháng từ lần tương tác cuối</w:t>
            </w:r>
          </w:p>
        </w:tc>
        <w:tc>
          <w:tcPr/>
          <w:p>
            <w:pPr>
              <w:pStyle w:val="Compact"/>
            </w:pPr>
            <w:r>
              <w:t xml:space="preserve">Chính sách oBacker</w:t>
            </w:r>
          </w:p>
        </w:tc>
      </w:tr>
      <w:tr>
        <w:tc>
          <w:tcPr/>
          <w:p>
            <w:pPr>
              <w:pStyle w:val="Compact"/>
            </w:pPr>
            <w:r>
              <w:t xml:space="preserve">Cookie và dữ liệu nhật ký truy cập web</w:t>
            </w:r>
          </w:p>
        </w:tc>
        <w:tc>
          <w:tcPr/>
          <w:p>
            <w:pPr>
              <w:pStyle w:val="Compact"/>
            </w:pPr>
            <w:r>
              <w:t xml:space="preserve">Theo cài đặt cookie và pháp luật</w:t>
            </w:r>
          </w:p>
        </w:tc>
        <w:tc>
          <w:tcPr/>
          <w:p>
            <w:pPr>
              <w:pStyle w:val="Compact"/>
            </w:pPr>
            <w:r>
              <w:t xml:space="preserve">Chính sách Cookie</w:t>
            </w:r>
          </w:p>
        </w:tc>
      </w:tr>
    </w:tbl>
    <w:bookmarkEnd w:id="21"/>
    <w:bookmarkStart w:id="22" w:name="X32b23ec492e86c0c51c3f01656d01da6ff115bd"/>
    <w:p>
      <w:pPr>
        <w:pStyle w:val="Heading2"/>
      </w:pPr>
      <w:r>
        <w:t xml:space="preserve">Điều 12. Biện pháp bảo vệ dữ liệu cá nhân</w:t>
      </w:r>
    </w:p>
    <w:p>
      <w:pPr>
        <w:pStyle w:val="FirstParagraph"/>
      </w:pPr>
      <w:r>
        <w:rPr>
          <w:b/>
          <w:bCs/>
        </w:rPr>
        <w:t xml:space="preserve">12.1. Biện pháp tổ chức:</w:t>
      </w:r>
      <w:r>
        <w:t xml:space="preserve"> </w:t>
      </w:r>
      <w:r>
        <w:t xml:space="preserve">ban hành Quy chế bảo vệ dữ liệu cá nhân nội bộ; chỉ định DPO; phân quyền theo</w:t>
      </w:r>
      <w:r>
        <w:t xml:space="preserve"> </w:t>
      </w:r>
      <w:r>
        <w:t xml:space="preserve">“cần biết”</w:t>
      </w:r>
      <w:r>
        <w:t xml:space="preserve"> </w:t>
      </w:r>
      <w:r>
        <w:t xml:space="preserve">và</w:t>
      </w:r>
      <w:r>
        <w:t xml:space="preserve"> </w:t>
      </w:r>
      <w:r>
        <w:t xml:space="preserve">“đặc quyền tối thiểu”</w:t>
      </w:r>
      <w:r>
        <w:t xml:space="preserve">; đào tạo định kỳ; xây dựng quy trình xử lý yêu cầu của Chủ thể dữ liệu.</w:t>
      </w:r>
    </w:p>
    <w:p>
      <w:pPr>
        <w:pStyle w:val="BodyText"/>
      </w:pPr>
      <w:r>
        <w:rPr>
          <w:b/>
          <w:bCs/>
        </w:rPr>
        <w:t xml:space="preserve">12.2. Biện pháp kỹ thuật:</w:t>
      </w:r>
      <w:r>
        <w:t xml:space="preserve"> </w:t>
      </w:r>
      <w:r>
        <w:t xml:space="preserve">mã hóa khi truyền tải (TLS) và khi lưu trữ; MFA cho truy cập hệ thống nội bộ và Google Workspace; kiểm soát truy cập theo vai trò (RBAC); ghi nhật ký truy cập và giám sát an ninh; sao lưu định kỳ và khôi phục; cập nhật bản vá, %%MIENTRU:T1%%quản lý lỗ hổng%%/MIENTRU:T1%%.</w:t>
      </w:r>
    </w:p>
    <w:p>
      <w:pPr>
        <w:pStyle w:val="BodyText"/>
      </w:pPr>
      <w:r>
        <w:rPr>
          <w:b/>
          <w:bCs/>
        </w:rPr>
        <w:t xml:space="preserve">12.3. Biện pháp pháp lý:</w:t>
      </w:r>
      <w:r>
        <w:t xml:space="preserve"> </w:t>
      </w:r>
      <w:r>
        <w:t xml:space="preserve">ký DPA với Google và các bên xử lý khác; cam kết bảo mật, NDA với nhân sự; điều khoản bảo mật trong hợp đồng với khách hàng và đối tác.</w:t>
      </w:r>
    </w:p>
    <w:p>
      <w:pPr>
        <w:pStyle w:val="BodyText"/>
      </w:pPr>
      <w:r>
        <w:rPr>
          <w:b/>
          <w:bCs/>
        </w:rPr>
        <w:t xml:space="preserve">12.4.</w:t>
      </w:r>
      <w:r>
        <w:t xml:space="preserve"> </w:t>
      </w:r>
      <w:r>
        <w:t xml:space="preserve">oBacker rà soát, đánh giá và cập nhật định kỳ các biện pháp để phù hợp với công nghệ và pháp luật.</w:t>
      </w:r>
    </w:p>
    <w:p>
      <w:pPr>
        <w:pStyle w:val="BlockText"/>
      </w:pPr>
      <w:r>
        <w:rPr>
          <w:b/>
          <w:bCs/>
        </w:rPr>
        <w:t xml:space="preserve">Trách nhiệm của Quý Khách:</w:t>
      </w:r>
      <w:r>
        <w:t xml:space="preserve"> </w:t>
      </w:r>
      <w:r>
        <w:t xml:space="preserve">không hệ thống nào an toàn tuyệt đối. Quý Khách có trách nhiệm bảo mật thông tin đăng nhập, thiết bị cá nhân, và thông báo cho oBacker ngay khi phát hiện nguy cơ hoặc dấu hiệu bị xâm phạm.</w:t>
      </w:r>
    </w:p>
    <w:bookmarkEnd w:id="22"/>
    <w:bookmarkStart w:id="23" w:name="X45fd853a4b6092141ca0599c52f87cec4ebd4f7"/>
    <w:p>
      <w:pPr>
        <w:pStyle w:val="Heading2"/>
      </w:pPr>
      <w:r>
        <w:t xml:space="preserve">Điều 13. Quyền và nghĩa vụ của Chủ thể dữ liệu</w:t>
      </w:r>
    </w:p>
    <w:p>
      <w:pPr>
        <w:pStyle w:val="FirstParagraph"/>
      </w:pPr>
      <w:r>
        <w:rPr>
          <w:b/>
          <w:bCs/>
        </w:rPr>
        <w:t xml:space="preserve">13.1. Quyền của Quý Khách:</w:t>
      </w:r>
      <w:r>
        <w:t xml:space="preserve"> </w:t>
      </w:r>
      <w:r>
        <w:t xml:space="preserve">được biết; đồng ý/không đồng ý và rút lại đồng ý; truy cập, chỉnh sửa; yêu cầu cung cấp dữ liệu; yêu cầu xóa hoặc hạn chế xử lý; phản đối xử lý cho mục đích quảng cáo, tiếp thị; khiếu nại, tố cáo, khởi kiện; yêu cầu bồi thường thiệt hại khi có vi phạm; tự bảo vệ và yêu cầu cơ quan có thẩm quyền áp dụng biện pháp bảo vệ.</w:t>
      </w:r>
    </w:p>
    <w:p>
      <w:pPr>
        <w:pStyle w:val="BlockText"/>
      </w:pPr>
      <w:r>
        <w:rPr>
          <w:b/>
          <w:bCs/>
        </w:rPr>
        <w:t xml:space="preserve">Lưu ý đối với NLĐ và cổ đông của khách hàng:</w:t>
      </w:r>
      <w:r>
        <w:t xml:space="preserve"> </w:t>
      </w:r>
      <w:r>
        <w:t xml:space="preserve">khi dữ liệu được oBacker xử lý theo chỉ dẫn của khách hàng (vai trò Bên Xử lý), việc thực hiện quyền cần phối hợp với khách hàng (Bên Kiểm soát chính). oBacker tiếp nhận yêu cầu và phối hợp với khách hàng để hỗ trợ Quý Khách trong thời hạn pháp luật quy định.</w:t>
      </w:r>
    </w:p>
    <w:p>
      <w:pPr>
        <w:pStyle w:val="FirstParagraph"/>
      </w:pPr>
      <w:r>
        <w:rPr>
          <w:b/>
          <w:bCs/>
        </w:rPr>
        <w:t xml:space="preserve">13.2. Nghĩa vụ của Quý Khách:</w:t>
      </w:r>
      <w:r>
        <w:t xml:space="preserve"> </w:t>
      </w:r>
      <w:r>
        <w:t xml:space="preserve">cung cấp dữ liệu chính xác, đầy đủ; bảo mật thông tin tài khoản; tôn trọng dữ liệu của người khác; tuân thủ pháp luật về bảo vệ dữ liệu cá nhân.</w:t>
      </w:r>
    </w:p>
    <w:bookmarkEnd w:id="23"/>
    <w:bookmarkStart w:id="24" w:name="X15dae7a8e535e2ba851c91a38ff2e2b32ecd1b7"/>
    <w:p>
      <w:pPr>
        <w:pStyle w:val="Heading2"/>
      </w:pPr>
      <w:r>
        <w:t xml:space="preserve">Điều 14. Cách thức thực hiện quyền của Chủ thể dữ liệu</w:t>
      </w:r>
    </w:p>
    <w:p>
      <w:pPr>
        <w:pStyle w:val="FirstParagraph"/>
      </w:pPr>
      <w:r>
        <w:rPr>
          <w:b/>
          <w:bCs/>
        </w:rPr>
        <w:t xml:space="preserve">14.1. Quy trình xử lý yêu cầu.</w:t>
      </w:r>
      <w:r>
        <w:t xml:space="preserve"> </w:t>
      </w:r>
      <w:r>
        <w:t xml:space="preserve">oBacker có thể yêu cầu Quý Khách cung cấp thông tin xác minh danh tính; tiếp nhận, xác minh và phản hồi theo thời hạn pháp luật; một số yêu cầu (hạn chế xử lý, một số quyền theo NĐ 356/2025) được thực hiện trong</w:t>
      </w:r>
      <w:r>
        <w:t xml:space="preserve"> </w:t>
      </w:r>
      <w:r>
        <w:rPr>
          <w:b/>
          <w:bCs/>
        </w:rPr>
        <w:t xml:space="preserve">72 giờ</w:t>
      </w:r>
      <w:r>
        <w:t xml:space="preserve"> </w:t>
      </w:r>
      <w:r>
        <w:t xml:space="preserve">kể từ khi nhận yêu cầu hợp lệ; trường hợp từ chối, oBacker nêu rõ lý do bằng văn bản.</w:t>
      </w:r>
    </w:p>
    <w:p>
      <w:pPr>
        <w:pStyle w:val="BodyText"/>
      </w:pPr>
      <w:r>
        <w:rPr>
          <w:b/>
          <w:bCs/>
        </w:rPr>
        <w:t xml:space="preserve">14.2. Phối hợp với khách hàng đối với dữ liệu xử lý theo chỉ dẫn của khách hàng.</w:t>
      </w:r>
      <w:r>
        <w:t xml:space="preserve"> </w:t>
      </w:r>
      <w:r>
        <w:t xml:space="preserve">Đối với dữ liệu oBacker xử lý theo chỉ dẫn của khách hàng, oBacker tiếp nhận yêu cầu và phối hợp với khách hàng để đáp ứng. Quý Khách có thể liên hệ trực tiếp với khách hàng để được hỗ trợ nhanh hơn.</w:t>
      </w:r>
    </w:p>
    <w:bookmarkEnd w:id="24"/>
    <w:bookmarkStart w:id="25" w:name="Xcf66d1ef213924a2f5f6d8859753f939869983f"/>
    <w:p>
      <w:pPr>
        <w:pStyle w:val="Heading2"/>
      </w:pPr>
      <w:r>
        <w:t xml:space="preserve">Điều 15. Xử lý dữ liệu cá nhân của trẻ em và người được giám hộ</w:t>
      </w:r>
    </w:p>
    <w:p>
      <w:pPr>
        <w:pStyle w:val="FirstParagraph"/>
      </w:pPr>
      <w:r>
        <w:t xml:space="preserve">Dịch vụ của oBacker hướng tới doanh nghiệp và cá nhân thành niên, không nhằm vào trẻ em dưới 16 tuổi. Tuy nhiên, một số trường hợp phát sinh xử lý dữ liệu trẻ em/người được giám hộ: dữ liệu người phụ thuộc cho giảm trừ gia cảnh TNCN; thông tin con của NLĐ cho đăng ký BHYT và quyền lợi BHXH. Trong các trường hợp này, oBacker xử lý trên cơ sở sự đồng ý của cha, mẹ hoặc người giám hộ (thường thu thập qua khách hàng; đơn vị sử dụng lao động), và áp dụng biện pháp bảo vệ phù hợp. Trường hợp công bố, tiết lộ thông tin đời sống riêng tư của trẻ em từ đủ 07 tuổi trở lên, oBacker thu thập sự đồng ý của cả trẻ em và người đại diện theo pháp luật, trừ trường hợp pháp luật quy định khác.</w:t>
      </w:r>
    </w:p>
    <w:bookmarkEnd w:id="25"/>
    <w:bookmarkStart w:id="26" w:name="X41399b662691dcf60b7eba0d44ec5cb3b27b350"/>
    <w:p>
      <w:pPr>
        <w:pStyle w:val="Heading2"/>
      </w:pPr>
      <w:r>
        <w:t xml:space="preserve">Điều 16. Cookie và công nghệ tương tự trên trang web obacker.com</w:t>
      </w:r>
    </w:p>
    <w:p>
      <w:pPr>
        <w:pStyle w:val="FirstParagraph"/>
      </w:pPr>
      <w:r>
        <w:t xml:space="preserve">Trang web sử dụng cookie (tệp dữ liệu nhỏ lưu trên trình duyệt) để ghi nhớ tùy chọn, phân tích lưu lượng và cải thiện trải nghiệm. Quý Khách có thể quản lý hoặc từ chối cookie qua thiết lập trình duyệt; một số tính năng có thể không hoạt động đầy đủ nếu cookie thiết yếu bị vô hiệu hóa. Cookie thiết yếu không yêu cầu đồng ý. Cookie phân tích, quảng cáo, tiếp thị bám đuổi (Google Analytics, Meta Pixel, bản đồ nhiệt…) yêu cầu sự đồng ý riêng, thông qua Thông báo Cookie và Trung tâm tùy chọn cookie. Hiện tại oBacker [đang/không] sử dụng công cụ phân tích lưu lượng của bên thứ ba; chi tiết cập nhật tại obacker.com/cookies.</w:t>
      </w:r>
    </w:p>
    <w:bookmarkEnd w:id="26"/>
    <w:bookmarkStart w:id="27" w:name="X561690a26e2975de24cdca4ab71ecc61f40ab36"/>
    <w:p>
      <w:pPr>
        <w:pStyle w:val="Heading2"/>
      </w:pPr>
      <w:r>
        <w:t xml:space="preserve">Điều 17. Thông báo vi phạm dữ liệu cá nhân</w:t>
      </w:r>
    </w:p>
    <w:p>
      <w:pPr>
        <w:pStyle w:val="FirstParagraph"/>
      </w:pPr>
      <w:r>
        <w:t xml:space="preserve">Khi xảy ra vi phạm (rò rỉ, mất, tiết lộ/truy cập trái phép), oBacker: đánh giá phạm vi và mức độ trong thời gian sớm nhất; thông báo cho cơ quan nhà nước có thẩm quyền khi thuộc diện phải thông báo, theo thời hạn quy định (bao gồm mốc</w:t>
      </w:r>
      <w:r>
        <w:t xml:space="preserve"> </w:t>
      </w:r>
      <w:r>
        <w:rPr>
          <w:b/>
          <w:bCs/>
        </w:rPr>
        <w:t xml:space="preserve">72 giờ</w:t>
      </w:r>
      <w:r>
        <w:t xml:space="preserve"> </w:t>
      </w:r>
      <w:r>
        <w:t xml:space="preserve">khi áp dụng); thông báo cho Chủ thể dữ liệu bị ảnh hưởng khi pháp luật yêu cầu; phối hợp với khách hàng (khi oBacker là Bên Xử lý) để khách hàng thực hiện nghĩa vụ thông báo; và áp dụng biện pháp khắc phục cùng ngăn ngừa tái diễn.</w:t>
      </w:r>
    </w:p>
    <w:bookmarkEnd w:id="27"/>
    <w:bookmarkStart w:id="28" w:name="Xff387d1463627ac05a97c58cbabec9c3710ac18"/>
    <w:p>
      <w:pPr>
        <w:pStyle w:val="Heading2"/>
      </w:pPr>
      <w:r>
        <w:t xml:space="preserve">Điều 18. Đánh giá tác động xử lý dữ liệu cá nhân</w:t>
      </w:r>
    </w:p>
    <w:p>
      <w:pPr>
        <w:pStyle w:val="FirstParagraph"/>
      </w:pPr>
      <w:r>
        <w:t xml:space="preserve">oBacker xây dựng và duy trì</w:t>
      </w:r>
      <w:r>
        <w:t xml:space="preserve"> </w:t>
      </w:r>
      <w:r>
        <w:rPr>
          <w:b/>
          <w:bCs/>
        </w:rPr>
        <w:t xml:space="preserve">DPIA</w:t>
      </w:r>
      <w:r>
        <w:t xml:space="preserve"> </w:t>
      </w:r>
      <w:r>
        <w:t xml:space="preserve">đối với hoạt động xử lý (đặc biệt là dữ liệu nhạy cảm) và</w:t>
      </w:r>
      <w:r>
        <w:t xml:space="preserve"> </w:t>
      </w:r>
      <w:r>
        <w:rPr>
          <w:b/>
          <w:bCs/>
        </w:rPr>
        <w:t xml:space="preserve">DTIA</w:t>
      </w:r>
      <w:r>
        <w:t xml:space="preserve"> </w:t>
      </w:r>
      <w:r>
        <w:t xml:space="preserve">đối với việc chuyển dữ liệu ra ngoài lãnh thổ Việt Nam (bao gồm hạ tầng Google). Các hồ sơ này được lưu giữ và sẵn sàng xuất trình cho cơ quan có thẩm quyền theo thời hạn quy định.</w:t>
      </w:r>
    </w:p>
    <w:bookmarkEnd w:id="28"/>
    <w:bookmarkStart w:id="29" w:name="điều-19.-thay-đổi-chính-sách"/>
    <w:p>
      <w:pPr>
        <w:pStyle w:val="Heading2"/>
      </w:pPr>
      <w:r>
        <w:t xml:space="preserve">Điều 19. Thay đổi Chính sách</w:t>
      </w:r>
    </w:p>
    <w:p>
      <w:pPr>
        <w:pStyle w:val="FirstParagraph"/>
      </w:pPr>
      <w:r>
        <w:t xml:space="preserve">oBacker có thể cập nhật Chính sách theo thời gian; phiên bản cập nhật được công bố trên obacker.com và có hiệu lực kể từ ngày công bố (trừ trường hợp pháp luật quy định khác). Đối với thay đổi trọng yếu (mục đích xử lý, bên nhận dữ liệu, điều kiện chuyển xuyên biên giới), oBacker thông báo trực tiếp và xin đồng ý lại khi pháp luật yêu cầu.</w:t>
      </w:r>
    </w:p>
    <w:bookmarkEnd w:id="29"/>
    <w:bookmarkStart w:id="30" w:name="điều-20.-thông-tin-liên-hệ-và-khiếu-nại"/>
    <w:p>
      <w:pPr>
        <w:pStyle w:val="Heading2"/>
      </w:pPr>
      <w:r>
        <w:t xml:space="preserve">Điều 20. Thông tin liên hệ và khiếu nại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Kênh liên hệ</w:t>
            </w:r>
          </w:p>
        </w:tc>
        <w:tc>
          <w:tcPr/>
          <w:p>
            <w:pPr>
              <w:pStyle w:val="Compact"/>
            </w:pPr>
            <w:r>
              <w:t xml:space="preserve">Thông tin</w:t>
            </w:r>
          </w:p>
        </w:tc>
      </w:tr>
      <w:tr>
        <w:tc>
          <w:tcPr/>
          <w:p>
            <w:pPr>
              <w:pStyle w:val="Compact"/>
            </w:pPr>
            <w:r>
              <w:t xml:space="preserve">Bộ phận phụ trách / DPO</w:t>
            </w:r>
          </w:p>
        </w:tc>
        <w:tc>
          <w:tcPr/>
          <w:p>
            <w:pPr>
              <w:pStyle w:val="Compact"/>
            </w:pPr>
            <w:r>
              <w:t xml:space="preserve">Bộ phận pháp chế và bảo vệ dữ liệu cá nhân; oBacker</w:t>
            </w:r>
          </w:p>
        </w:tc>
      </w:tr>
      <w:tr>
        <w:tc>
          <w:tcPr/>
          <w:p>
            <w:pPr>
              <w:pStyle w:val="Compact"/>
            </w:pPr>
            <w:r>
              <w:t xml:space="preserve">Email</w:t>
            </w:r>
          </w:p>
        </w:tc>
        <w:tc>
          <w:tcPr/>
          <w:p>
            <w:pPr>
              <w:pStyle w:val="Compact"/>
            </w:pPr>
            <w:r>
              <w:t xml:space="preserve">privacy@obacker.com</w:t>
            </w:r>
          </w:p>
        </w:tc>
      </w:tr>
      <w:tr>
        <w:tc>
          <w:tcPr/>
          <w:p>
            <w:pPr>
              <w:pStyle w:val="Compact"/>
            </w:pPr>
            <w:r>
              <w:t xml:space="preserve">Điện thoại</w:t>
            </w:r>
          </w:p>
        </w:tc>
        <w:tc>
          <w:tcPr/>
          <w:p>
            <w:pPr>
              <w:pStyle w:val="Compact"/>
            </w:pPr>
            <w:r>
              <w:t xml:space="preserve">[___]</w:t>
            </w:r>
          </w:p>
        </w:tc>
      </w:tr>
      <w:tr>
        <w:tc>
          <w:tcPr/>
          <w:p>
            <w:pPr>
              <w:pStyle w:val="Compact"/>
            </w:pPr>
            <w:r>
              <w:t xml:space="preserve">Địa chỉ nhận yêu cầu</w:t>
            </w:r>
          </w:p>
        </w:tc>
        <w:tc>
          <w:tcPr/>
          <w:p>
            <w:pPr>
              <w:pStyle w:val="Compact"/>
            </w:pPr>
            <w:r>
              <w:t xml:space="preserve">Tầng 2, 06 Trần Phú, Phường Hải Châu, Thành phố Đà Nẵng</w:t>
            </w:r>
          </w:p>
        </w:tc>
      </w:tr>
      <w:tr>
        <w:tc>
          <w:tcPr/>
          <w:p>
            <w:pPr>
              <w:pStyle w:val="Compact"/>
            </w:pPr>
            <w:r>
              <w:t xml:space="preserve">Trang web</w:t>
            </w:r>
          </w:p>
        </w:tc>
        <w:tc>
          <w:tcPr/>
          <w:p>
            <w:pPr>
              <w:pStyle w:val="Compact"/>
            </w:pPr>
            <w:r>
              <w:t xml:space="preserve">obacker.com</w:t>
            </w:r>
          </w:p>
        </w:tc>
      </w:tr>
    </w:tbl>
    <w:p>
      <w:pPr>
        <w:pStyle w:val="BodyText"/>
      </w:pPr>
      <w:r>
        <w:t xml:space="preserve">Nếu chưa hài lòng với cách xử lý của oBacker, Quý Khách có quyền khiếu nại, tố cáo hoặc khởi kiện tới cơ quan nhà nước có thẩm quyền, bao gồm</w:t>
      </w:r>
      <w:r>
        <w:t xml:space="preserve"> </w:t>
      </w:r>
      <w:r>
        <w:rPr>
          <w:b/>
          <w:bCs/>
        </w:rPr>
        <w:t xml:space="preserve">Cục An ninh mạng và phòng, chống tội phạm sử dụng công nghệ cao (A05; Bộ Công an)</w:t>
      </w:r>
      <w:r>
        <w:t xml:space="preserve"> </w:t>
      </w:r>
      <w:r>
        <w:t xml:space="preserve">và tòa án có thẩm quyền.</w:t>
      </w:r>
    </w:p>
    <w:p>
      <w:r>
        <w:pict>
          <v:rect style="width:0;height:1.5pt" o:hralign="center" o:hrstd="t" o:hr="t"/>
        </w:pict>
      </w:r>
    </w:p>
    <w:bookmarkEnd w:id="30"/>
    <w:bookmarkEnd w:id="31"/>
    <w:bookmarkStart w:id="42" w:name="phần-ii-dữ-liệu-cá-nhân-nhạy-cảm"/>
    <w:p>
      <w:pPr>
        <w:pStyle w:val="Heading1"/>
      </w:pPr>
      <w:r>
        <w:t xml:space="preserve">PHẦN II; DỮ LIỆU CÁ NHÂN NHẠY CẢM</w:t>
      </w:r>
    </w:p>
    <w:p>
      <w:pPr>
        <w:pStyle w:val="FirstParagraph"/>
      </w:pPr>
      <w:r>
        <w:t xml:space="preserve">Phần lớn dữ liệu oBacker xử lý hằng ngày là dữ liệu cá nhân nhạy cảm; thông tin tài khoản ngân hàng, mức lương, tỷ lệ sở hữu vốn, các khoản đóng BHXH, tình trạng sức khỏe khi liên quan chế độ thai sản/ốm đau, dữ liệu sinh trắc học khi ký kết tài liệu. Đây là những thông tin mà nếu bị xâm phạm có thể tác động trực tiếp đến quyền lợi, tài sản và đời tư của Quý Khách. Vì vậy, oBacker áp dụng các biện pháp bảo vệ ở mức cao hơn. Phần II áp dụng đồng thời với Phần I; khi có khác biệt liên quan đến dữ liệu nhạy cảm,</w:t>
      </w:r>
      <w:r>
        <w:t xml:space="preserve"> </w:t>
      </w:r>
      <w:r>
        <w:rPr>
          <w:b/>
          <w:bCs/>
        </w:rPr>
        <w:t xml:space="preserve">Phần II được ưu tiên áp dụng</w:t>
      </w:r>
      <w:r>
        <w:t xml:space="preserve">.</w:t>
      </w:r>
    </w:p>
    <w:bookmarkStart w:id="32" w:name="điều-21.-dữ-liệu-cá-nhân-nhạy-cảm-là-gì"/>
    <w:p>
      <w:pPr>
        <w:pStyle w:val="Heading2"/>
      </w:pPr>
      <w:r>
        <w:t xml:space="preserve">Điều 21. Dữ liệu cá nhân nhạy cảm là gì</w:t>
      </w:r>
    </w:p>
    <w:p>
      <w:pPr>
        <w:pStyle w:val="FirstParagraph"/>
      </w:pPr>
      <w:r>
        <w:t xml:space="preserve">Dữ liệu gắn liền với quyền riêng tư mà khi bị xâm phạm sẽ gây ảnh hưởng trực tiếp tới quyền và lợi ích hợp pháp của cá nhân. Theo pháp luật Việt Nam, bao gồm: quan điểm chính trị, tôn giáo; tình trạng sức khỏe và đời tư trong hồ sơ bệnh án; nguồn gốc chủng tộc, dân tộc; đặc điểm di truyền, thuộc tính vật lý/sinh học riêng; dữ liệu sinh trắc học (vân tay, mống mắt, khuôn mặt, chữ ký điện tử có yếu tố sinh trắc…); đời sống/xu hướng tình dục; dữ liệu về tội phạm, hành vi vi phạm pháp luật; thông tin tài chính thuộc nhóm nhạy cảm theo pháp luật áp dụng; dữ liệu vị trí; và dữ liệu khác được pháp luật quy định là nhạy cảm.</w:t>
      </w:r>
    </w:p>
    <w:bookmarkEnd w:id="32"/>
    <w:bookmarkStart w:id="33" w:name="Xdf0e7fbbd7e0ac1e1a7664371a34ae44f1842ba"/>
    <w:p>
      <w:pPr>
        <w:pStyle w:val="Heading2"/>
      </w:pPr>
      <w:r>
        <w:t xml:space="preserve">Điều 22. Loại dữ liệu nhạy cảm được oBacker xử lý</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Loại dữ liệu nhạy cảm</w:t>
            </w:r>
          </w:p>
        </w:tc>
        <w:tc>
          <w:tcPr/>
          <w:p>
            <w:pPr>
              <w:pStyle w:val="Compact"/>
            </w:pPr>
            <w:r>
              <w:t xml:space="preserve">Mục đích xử lý</w:t>
            </w:r>
          </w:p>
        </w:tc>
        <w:tc>
          <w:tcPr/>
          <w:p>
            <w:pPr>
              <w:pStyle w:val="Compact"/>
            </w:pPr>
            <w:r>
              <w:t xml:space="preserve">Phương thức / Nguồn</w:t>
            </w:r>
          </w:p>
        </w:tc>
      </w:tr>
      <w:tr>
        <w:tc>
          <w:tcPr/>
          <w:p>
            <w:pPr>
              <w:pStyle w:val="Compact"/>
            </w:pPr>
            <w:r>
              <w:t xml:space="preserve">Tài khoản ngân hàng, lương, thưởng, phụ cấp, khấu trừ (TNCN, BHXH, BHYT, BHTN, công đoàn…)</w:t>
            </w:r>
          </w:p>
        </w:tc>
        <w:tc>
          <w:tcPr/>
          <w:p>
            <w:pPr>
              <w:pStyle w:val="Compact"/>
            </w:pPr>
            <w:r>
              <w:t xml:space="preserve">Xử lý tiền lương, kê khai TNCN, đóng BHXH/BHYT/BHTN, chi lương cho NLĐ của khách hàng</w:t>
            </w:r>
          </w:p>
        </w:tc>
        <w:tc>
          <w:tcPr/>
          <w:p>
            <w:pPr>
              <w:pStyle w:val="Compact"/>
            </w:pPr>
            <w:r>
              <w:t xml:space="preserve">Khách hàng cung cấp;</w:t>
            </w:r>
            <w:r>
              <w:t xml:space="preserve">NLĐ khi cần xác minh</w:t>
            </w:r>
          </w:p>
        </w:tc>
      </w:tr>
      <w:tr>
        <w:tc>
          <w:tcPr/>
          <w:p>
            <w:pPr>
              <w:pStyle w:val="Compact"/>
            </w:pPr>
            <w:r>
              <w:t xml:space="preserve">Tỷ lệ sở hữu vốn, cổ phần, hồ sơ vay-chuyển đổi cổ phần, chuyển nhượng vốn</w:t>
            </w:r>
          </w:p>
        </w:tc>
        <w:tc>
          <w:tcPr/>
          <w:p>
            <w:pPr>
              <w:pStyle w:val="Compact"/>
            </w:pPr>
            <w:r>
              <w:t xml:space="preserve">Tư vấn cấu trúc cổ đông, đăng ký doanh nghiệp, M&amp;A, cấp phép đầu tư</w:t>
            </w:r>
          </w:p>
        </w:tc>
        <w:tc>
          <w:tcPr/>
          <w:p>
            <w:pPr>
              <w:pStyle w:val="Compact"/>
            </w:pPr>
            <w:r>
              <w:t xml:space="preserve">Khách hàng cung cấp qua hồ sơ doanh nghiệp</w:t>
            </w:r>
          </w:p>
        </w:tc>
      </w:tr>
      <w:tr>
        <w:tc>
          <w:tcPr/>
          <w:p>
            <w:pPr>
              <w:pStyle w:val="Compact"/>
            </w:pPr>
            <w:r>
              <w:t xml:space="preserve">Tình trạng sức khỏe (giới hạn) trong hồ sơ ốm, thai sản, giám định BHXH</w:t>
            </w:r>
          </w:p>
        </w:tc>
        <w:tc>
          <w:tcPr/>
          <w:p>
            <w:pPr>
              <w:pStyle w:val="Compact"/>
            </w:pPr>
            <w:r>
              <w:t xml:space="preserve">Xử lý quyền lợi BHXH, BHYT cho NLĐ của khách hàng</w:t>
            </w:r>
          </w:p>
        </w:tc>
        <w:tc>
          <w:tcPr/>
          <w:p>
            <w:pPr>
              <w:pStyle w:val="Compact"/>
            </w:pPr>
            <w:r>
              <w:t xml:space="preserve">Khách hàng / NLĐ cung cấp</w:t>
            </w:r>
          </w:p>
        </w:tc>
      </w:tr>
      <w:tr>
        <w:tc>
          <w:tcPr/>
          <w:p>
            <w:pPr>
              <w:pStyle w:val="Compact"/>
            </w:pPr>
            <w:r>
              <w:t xml:space="preserve">Dữ liệu sinh trắc học (chữ ký điện tử, USB Token…)</w:t>
            </w:r>
          </w:p>
        </w:tc>
        <w:tc>
          <w:tcPr/>
          <w:p>
            <w:pPr>
              <w:pStyle w:val="Compact"/>
            </w:pPr>
            <w:r>
              <w:t xml:space="preserve">Ký kết tài liệu pháp lý theo ủy quyền</w:t>
            </w:r>
          </w:p>
        </w:tc>
        <w:tc>
          <w:tcPr/>
          <w:p>
            <w:pPr>
              <w:pStyle w:val="Compact"/>
            </w:pPr>
            <w:r>
              <w:t xml:space="preserve">Trực tiếp từ người ký</w:t>
            </w:r>
          </w:p>
        </w:tc>
      </w:tr>
      <w:tr>
        <w:tc>
          <w:tcPr/>
          <w:p>
            <w:pPr>
              <w:pStyle w:val="Compact"/>
            </w:pPr>
            <w:r>
              <w:t xml:space="preserve">Tiền sử pháp lý (nếu có)</w:t>
            </w:r>
          </w:p>
        </w:tc>
        <w:tc>
          <w:tcPr/>
          <w:p>
            <w:pPr>
              <w:pStyle w:val="Compact"/>
            </w:pPr>
            <w:r>
              <w:t xml:space="preserve">Tư vấn pháp lý, đánh giá rủi ro FDI/cấp phép có điều kiện</w:t>
            </w:r>
          </w:p>
        </w:tc>
        <w:tc>
          <w:tcPr/>
          <w:p>
            <w:pPr>
              <w:pStyle w:val="Compact"/>
            </w:pPr>
            <w:r>
              <w:t xml:space="preserve">Khách hàng;</w:t>
            </w:r>
            <w:r>
              <w:t xml:space="preserve">cơ quan nhà nước</w:t>
            </w:r>
          </w:p>
        </w:tc>
      </w:tr>
      <w:tr>
        <w:tc>
          <w:tcPr/>
          <w:p>
            <w:pPr>
              <w:pStyle w:val="Compact"/>
            </w:pPr>
            <w:r>
              <w:t xml:space="preserve">Dữ liệu vị trí (giới hạn, khi áp dụng)</w:t>
            </w:r>
          </w:p>
        </w:tc>
        <w:tc>
          <w:tcPr/>
          <w:p>
            <w:pPr>
              <w:pStyle w:val="Compact"/>
            </w:pPr>
            <w:r>
              <w:t xml:space="preserve">Cung cấp dịch vụ cụ thể mà Quý Khách đã đồng ý chia sẻ dữ liệu vị trí</w:t>
            </w:r>
          </w:p>
        </w:tc>
        <w:tc>
          <w:tcPr/>
          <w:p>
            <w:pPr>
              <w:pStyle w:val="Compact"/>
            </w:pPr>
            <w:r>
              <w:t xml:space="preserve">Chỉ khi Quý Khách chủ động cấp quyền</w:t>
            </w:r>
          </w:p>
        </w:tc>
      </w:tr>
    </w:tbl>
    <w:p>
      <w:pPr>
        <w:pStyle w:val="BlockText"/>
      </w:pPr>
      <w:r>
        <w:rPr>
          <w:b/>
          <w:bCs/>
        </w:rPr>
        <w:t xml:space="preserve">Nguyên tắc tối thiểu cần thiết:</w:t>
      </w:r>
      <w:r>
        <w:t xml:space="preserve"> </w:t>
      </w:r>
      <w:r>
        <w:t xml:space="preserve">oBacker chỉ xử lý dữ liệu nhạy cảm thực sự cần thiết cho từng dịch vụ, không thu thập vượt quá phạm vi cần thiết. oBacker</w:t>
      </w:r>
      <w:r>
        <w:t xml:space="preserve"> </w:t>
      </w:r>
      <w:r>
        <w:rPr>
          <w:b/>
          <w:bCs/>
        </w:rPr>
        <w:t xml:space="preserve">KHÔNG</w:t>
      </w:r>
      <w:r>
        <w:t xml:space="preserve"> </w:t>
      </w:r>
      <w:r>
        <w:t xml:space="preserve">chủ động thu thập dữ liệu về quan điểm chính trị, tôn giáo, chủng tộc, dân tộc, đời sống/xu hướng tình dục.</w:t>
      </w:r>
    </w:p>
    <w:bookmarkEnd w:id="33"/>
    <w:bookmarkStart w:id="34" w:name="điều-23.-căn-cứ-xử-lý-và-sự-đồng-ý-riêng"/>
    <w:p>
      <w:pPr>
        <w:pStyle w:val="Heading2"/>
      </w:pPr>
      <w:r>
        <w:t xml:space="preserve">Điều 23. Căn cứ xử lý và sự đồng ý riêng</w:t>
      </w:r>
    </w:p>
    <w:p>
      <w:pPr>
        <w:pStyle w:val="FirstParagraph"/>
      </w:pPr>
      <w:r>
        <w:rPr>
          <w:b/>
          <w:bCs/>
        </w:rPr>
        <w:t xml:space="preserve">23.1. Khi xử lý dựa trên sự đồng ý,</w:t>
      </w:r>
      <w:r>
        <w:t xml:space="preserve"> </w:t>
      </w:r>
      <w:r>
        <w:t xml:space="preserve">oBacker: thông báo rõ dữ liệu được xử lý là dữ liệu nhạy cảm trước khi thu thập; xin sự đồng ý</w:t>
      </w:r>
      <w:r>
        <w:t xml:space="preserve"> </w:t>
      </w:r>
      <w:r>
        <w:rPr>
          <w:b/>
          <w:bCs/>
        </w:rPr>
        <w:t xml:space="preserve">RIÊNG, TÁCH BIỆT</w:t>
      </w:r>
      <w:r>
        <w:t xml:space="preserve"> </w:t>
      </w:r>
      <w:r>
        <w:t xml:space="preserve">cho từng loại dữ liệu và mục đích; không gộp chung với dữ liệu cơ bản; bảo đảm đồng ý tự nguyện, rõ ràng, cụ thể;</w:t>
      </w:r>
      <w:r>
        <w:t xml:space="preserve"> </w:t>
      </w:r>
      <w:r>
        <w:rPr>
          <w:b/>
          <w:bCs/>
        </w:rPr>
        <w:t xml:space="preserve">KHÔNG</w:t>
      </w:r>
      <w:r>
        <w:t xml:space="preserve"> </w:t>
      </w:r>
      <w:r>
        <w:t xml:space="preserve">dùng ô đồng ý mặc định hoặc tích sẵn; chỉ xử lý trong phạm vi đã thông báo; và lưu bằng chứng đồng ý (dấu thời gian, kênh tiếp nhận, nội dung). Quý Khách có quyền rút lại đồng ý bất kỳ lúc nào.</w:t>
      </w:r>
    </w:p>
    <w:p>
      <w:pPr>
        <w:pStyle w:val="BodyText"/>
      </w:pPr>
      <w:r>
        <w:rPr>
          <w:b/>
          <w:bCs/>
        </w:rPr>
        <w:t xml:space="preserve">23.2. Khi xử lý không dựa trên sự đồng ý</w:t>
      </w:r>
      <w:r>
        <w:t xml:space="preserve"> </w:t>
      </w:r>
      <w:r>
        <w:t xml:space="preserve">(trường hợp pháp luật cho phép), ví dụ: thực hiện nghĩa vụ pháp lý của khách hàng (kê khai TNCN, đóng BHXH cho NLĐ); nghĩa vụ pháp lý của oBacker; bảo vệ tính mạng, sức khỏe; lợi ích công cộng và an ninh quốc gia. Trong các trường hợp này, oBacker: ghi nhận căn cứ pháp lý cụ thể; đánh giá rủi ro trước khi thực hiện (qua DPIA); áp dụng biện pháp tăng cường theo Điều 25; và lưu hồ sơ căn cứ, phê duyệt cho từng quyết định.</w:t>
      </w:r>
    </w:p>
    <w:bookmarkEnd w:id="34"/>
    <w:bookmarkStart w:id="35" w:name="X6862d7dea92bf1fb4084ca0a7e0a15d28e6ec93"/>
    <w:p>
      <w:pPr>
        <w:pStyle w:val="Heading2"/>
      </w:pPr>
      <w:r>
        <w:t xml:space="preserve">Điều 24. Bên thứ ba được truy cập dữ liệu nhạy cảm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Bên được truy cập</w:t>
            </w:r>
          </w:p>
        </w:tc>
        <w:tc>
          <w:tcPr/>
          <w:p>
            <w:pPr>
              <w:pStyle w:val="Compact"/>
            </w:pPr>
            <w:r>
              <w:t xml:space="preserve">Dữ liệu nhạy cảm liên quan</w:t>
            </w:r>
          </w:p>
        </w:tc>
        <w:tc>
          <w:tcPr/>
          <w:p>
            <w:pPr>
              <w:pStyle w:val="Compact"/>
            </w:pPr>
            <w:r>
              <w:t xml:space="preserve">Cơ sở / Ràng buộc</w:t>
            </w:r>
          </w:p>
        </w:tc>
      </w:tr>
      <w:tr>
        <w:tc>
          <w:tcPr/>
          <w:p>
            <w:pPr>
              <w:pStyle w:val="Compact"/>
            </w:pPr>
            <w:r>
              <w:t xml:space="preserve">Nhân sự nội bộ oBacker được phân quyền</w:t>
            </w:r>
          </w:p>
        </w:tc>
        <w:tc>
          <w:tcPr/>
          <w:p>
            <w:pPr>
              <w:pStyle w:val="Compact"/>
            </w:pPr>
            <w:r>
              <w:t xml:space="preserve">Theo nguyên tắc cần biết, giới hạn theo vai trò</w:t>
            </w:r>
          </w:p>
        </w:tc>
        <w:tc>
          <w:tcPr/>
          <w:p>
            <w:pPr>
              <w:pStyle w:val="Compact"/>
            </w:pPr>
            <w:r>
              <w:t xml:space="preserve">NDA, đào tạo chuyên sâu, ghi nhật ký truy cập</w:t>
            </w:r>
          </w:p>
        </w:tc>
      </w:tr>
      <w:tr>
        <w:tc>
          <w:tcPr/>
          <w:p>
            <w:pPr>
              <w:pStyle w:val="Compact"/>
            </w:pPr>
            <w:r>
              <w:t xml:space="preserve">Google (hạ tầng đám mây)</w:t>
            </w:r>
          </w:p>
        </w:tc>
        <w:tc>
          <w:tcPr/>
          <w:p>
            <w:pPr>
              <w:pStyle w:val="Compact"/>
            </w:pPr>
            <w:r>
              <w:t xml:space="preserve">Dữ liệu nhạy cảm trên Google Workspace (đã mã hóa)</w:t>
            </w:r>
          </w:p>
        </w:tc>
        <w:tc>
          <w:tcPr/>
          <w:p>
            <w:pPr>
              <w:pStyle w:val="Compact"/>
            </w:pPr>
            <w:r>
              <w:t xml:space="preserve">DPA của Google + mã hóa, MFA, kiểm soát truy cập của oBacker</w:t>
            </w:r>
          </w:p>
        </w:tc>
      </w:tr>
      <w:tr>
        <w:tc>
          <w:tcPr/>
          <w:p>
            <w:pPr>
              <w:pStyle w:val="Compact"/>
            </w:pPr>
            <w:r>
              <w:t xml:space="preserve">Cơ quan thuế</w:t>
            </w:r>
          </w:p>
        </w:tc>
        <w:tc>
          <w:tcPr/>
          <w:p>
            <w:pPr>
              <w:pStyle w:val="Compact"/>
            </w:pPr>
            <w:r>
              <w:t xml:space="preserve">Lương, TNCN, MST cá nhân</w:t>
            </w:r>
          </w:p>
        </w:tc>
        <w:tc>
          <w:tcPr/>
          <w:p>
            <w:pPr>
              <w:pStyle w:val="Compact"/>
            </w:pPr>
            <w:r>
              <w:t xml:space="preserve">Nghĩa vụ pháp lý theo Luật Quản lý thuế</w:t>
            </w:r>
          </w:p>
        </w:tc>
      </w:tr>
      <w:tr>
        <w:tc>
          <w:tcPr/>
          <w:p>
            <w:pPr>
              <w:pStyle w:val="Compact"/>
            </w:pPr>
            <w:r>
              <w:t xml:space="preserve">Cơ quan BHXH</w:t>
            </w:r>
          </w:p>
        </w:tc>
        <w:tc>
          <w:tcPr/>
          <w:p>
            <w:pPr>
              <w:pStyle w:val="Compact"/>
            </w:pPr>
            <w:r>
              <w:t xml:space="preserve">Lương, hồ sơ BHXH, sức khỏe trong hồ sơ ốm/thai sản</w:t>
            </w:r>
          </w:p>
        </w:tc>
        <w:tc>
          <w:tcPr/>
          <w:p>
            <w:pPr>
              <w:pStyle w:val="Compact"/>
            </w:pPr>
            <w:r>
              <w:t xml:space="preserve">Nghĩa vụ pháp lý theo Luật BHXH</w:t>
            </w:r>
          </w:p>
        </w:tc>
      </w:tr>
      <w:tr>
        <w:tc>
          <w:tcPr/>
          <w:p>
            <w:pPr>
              <w:pStyle w:val="Compact"/>
            </w:pPr>
            <w:r>
              <w:t xml:space="preserve">Cơ quan đăng ký kinh doanh / UBND</w:t>
            </w:r>
          </w:p>
        </w:tc>
        <w:tc>
          <w:tcPr/>
          <w:p>
            <w:pPr>
              <w:pStyle w:val="Compact"/>
            </w:pPr>
            <w:r>
              <w:t xml:space="preserve">Cổ đông, tỷ lệ sở hữu, vốn góp, giấy tờ pháp lý cổ đông</w:t>
            </w:r>
          </w:p>
        </w:tc>
        <w:tc>
          <w:tcPr/>
          <w:p>
            <w:pPr>
              <w:pStyle w:val="Compact"/>
            </w:pPr>
            <w:r>
              <w:t xml:space="preserve">Luật Doanh nghiệp, Luật Đầu tư</w:t>
            </w:r>
          </w:p>
        </w:tc>
      </w:tr>
      <w:tr>
        <w:tc>
          <w:tcPr/>
          <w:p>
            <w:pPr>
              <w:pStyle w:val="Compact"/>
            </w:pPr>
            <w:r>
              <w:t xml:space="preserve">Công an, tòa án, viện kiểm sát</w:t>
            </w:r>
          </w:p>
        </w:tc>
        <w:tc>
          <w:tcPr/>
          <w:p>
            <w:pPr>
              <w:pStyle w:val="Compact"/>
            </w:pPr>
            <w:r>
              <w:t xml:space="preserve">Khi có yêu cầu hợp pháp bằng văn bản</w:t>
            </w:r>
          </w:p>
        </w:tc>
        <w:tc>
          <w:tcPr/>
          <w:p>
            <w:pPr>
              <w:pStyle w:val="Compact"/>
            </w:pPr>
            <w:r>
              <w:t xml:space="preserve">Theo quy định pháp luật</w:t>
            </w:r>
          </w:p>
        </w:tc>
      </w:tr>
      <w:tr>
        <w:tc>
          <w:tcPr/>
          <w:p>
            <w:pPr>
              <w:pStyle w:val="Compact"/>
            </w:pPr>
            <w:r>
              <w:t xml:space="preserve">Ngân hàng, tổ chức thanh toán</w:t>
            </w:r>
          </w:p>
        </w:tc>
        <w:tc>
          <w:tcPr/>
          <w:p>
            <w:pPr>
              <w:pStyle w:val="Compact"/>
            </w:pPr>
            <w:r>
              <w:t xml:space="preserve">Tài khoản, giao dịch chi lương, nộp thuế/BHXH</w:t>
            </w:r>
          </w:p>
        </w:tc>
        <w:tc>
          <w:tcPr/>
          <w:p>
            <w:pPr>
              <w:pStyle w:val="Compact"/>
            </w:pPr>
            <w:r>
              <w:t xml:space="preserve">Ủy quyền của khách hàng + pháp luật</w:t>
            </w:r>
          </w:p>
        </w:tc>
      </w:tr>
      <w:tr>
        <w:tc>
          <w:tcPr/>
          <w:p>
            <w:pPr>
              <w:pStyle w:val="Compact"/>
            </w:pPr>
            <w:r>
              <w:t xml:space="preserve">Đối tác chuyên môn được khách hàng yêu cầu</w:t>
            </w:r>
          </w:p>
        </w:tc>
        <w:tc>
          <w:tcPr/>
          <w:p>
            <w:pPr>
              <w:pStyle w:val="Compact"/>
            </w:pPr>
            <w:r>
              <w:t xml:space="preserve">Theo phạm vi công việc cụ thể</w:t>
            </w:r>
          </w:p>
        </w:tc>
        <w:tc>
          <w:tcPr/>
          <w:p>
            <w:pPr>
              <w:pStyle w:val="Compact"/>
            </w:pPr>
            <w:r>
              <w:t xml:space="preserve">Hợp đồng có điều khoản bảo mật chặt chẽ</w:t>
            </w:r>
          </w:p>
        </w:tc>
      </w:tr>
    </w:tbl>
    <w:p>
      <w:pPr>
        <w:pStyle w:val="BlockText"/>
      </w:pPr>
      <w:r>
        <w:rPr>
          <w:b/>
          <w:bCs/>
        </w:rPr>
        <w:t xml:space="preserve">Cam kết:</w:t>
      </w:r>
      <w:r>
        <w:t xml:space="preserve"> </w:t>
      </w:r>
      <w:r>
        <w:t xml:space="preserve">oBacker</w:t>
      </w:r>
      <w:r>
        <w:t xml:space="preserve"> </w:t>
      </w:r>
      <w:r>
        <w:rPr>
          <w:b/>
          <w:bCs/>
        </w:rPr>
        <w:t xml:space="preserve">KHÔNG bán</w:t>
      </w:r>
      <w:r>
        <w:t xml:space="preserve"> </w:t>
      </w:r>
      <w:r>
        <w:t xml:space="preserve">dữ liệu nhạy cảm và yêu cầu mọi bên nhận áp dụng biện pháp bảo vệ tương xứng.</w:t>
      </w:r>
    </w:p>
    <w:bookmarkEnd w:id="35"/>
    <w:bookmarkStart w:id="36" w:name="điều-25.-biện-pháp-bảo-vệ-tăng-cường"/>
    <w:p>
      <w:pPr>
        <w:pStyle w:val="Heading2"/>
      </w:pPr>
      <w:r>
        <w:t xml:space="preserve">Điều 25. Biện pháp bảo vệ tăng cường</w:t>
      </w:r>
    </w:p>
    <w:p>
      <w:pPr>
        <w:pStyle w:val="FirstParagraph"/>
      </w:pPr>
      <w:r>
        <w:rPr>
          <w:b/>
          <w:bCs/>
        </w:rPr>
        <w:t xml:space="preserve">25.1. Biện pháp kỹ thuật:</w:t>
      </w:r>
      <w:r>
        <w:t xml:space="preserve"> </w:t>
      </w:r>
      <w:r>
        <w:t xml:space="preserve">mã hóa khi lưu trữ và khi truyền tải (TLS);</w:t>
      </w:r>
      <w:r>
        <w:t xml:space="preserve"> </w:t>
      </w:r>
      <w:r>
        <w:rPr>
          <w:b/>
          <w:bCs/>
        </w:rPr>
        <w:t xml:space="preserve">bắt buộc xác thực đa yếu tố (MFA)</w:t>
      </w:r>
      <w:r>
        <w:t xml:space="preserve"> </w:t>
      </w:r>
      <w:r>
        <w:t xml:space="preserve">với mọi tài khoản truy cập hệ thống chứa dữ liệu nhạy cảm; giới hạn truy cập theo nguyên tắc cần biết, phân quyền theo vai trò, ghi nhật ký truy cập;</w:t>
      </w:r>
      <w:r>
        <w:t xml:space="preserve"> </w:t>
      </w:r>
      <w:r>
        <w:rPr>
          <w:b/>
          <w:bCs/>
        </w:rPr>
        <w:t xml:space="preserve">nhật ký truy cập và thao tác ở dạng bất biến, chống chỉnh sửa</w:t>
      </w:r>
      <w:r>
        <w:t xml:space="preserve">;</w:t>
      </w:r>
      <w:r>
        <w:t xml:space="preserve"> </w:t>
      </w:r>
      <w:r>
        <w:rPr>
          <w:b/>
          <w:bCs/>
        </w:rPr>
        <w:t xml:space="preserve">phê duyệt và ghi nhật ký trước khi xuất</w:t>
      </w:r>
      <w:r>
        <w:t xml:space="preserve"> </w:t>
      </w:r>
      <w:r>
        <w:t xml:space="preserve">dữ liệu nhạy cảm;</w:t>
      </w:r>
      <w:r>
        <w:t xml:space="preserve"> </w:t>
      </w:r>
      <w:r>
        <w:rPr>
          <w:b/>
          <w:bCs/>
        </w:rPr>
        <w:t xml:space="preserve">ẩn hoặc thay thế dữ liệu (masking/tokenisation)</w:t>
      </w:r>
      <w:r>
        <w:t xml:space="preserve"> </w:t>
      </w:r>
      <w:r>
        <w:t xml:space="preserve">khi dùng dữ liệu nhạy cảm cho kiểm thử, phân tích, đào tạo.</w:t>
      </w:r>
    </w:p>
    <w:p>
      <w:pPr>
        <w:pStyle w:val="BodyText"/>
      </w:pPr>
      <w:r>
        <w:rPr>
          <w:b/>
          <w:bCs/>
        </w:rPr>
        <w:t xml:space="preserve">25.2. Biện pháp tổ chức:</w:t>
      </w:r>
      <w:r>
        <w:t xml:space="preserve"> </w:t>
      </w:r>
      <w:r>
        <w:t xml:space="preserve">chỉ định DPO/bộ phận phụ trách; lập</w:t>
      </w:r>
      <w:r>
        <w:t xml:space="preserve"> </w:t>
      </w:r>
      <w:r>
        <w:rPr>
          <w:b/>
          <w:bCs/>
        </w:rPr>
        <w:t xml:space="preserve">DPIA riêng</w:t>
      </w:r>
      <w:r>
        <w:t xml:space="preserve"> </w:t>
      </w:r>
      <w:r>
        <w:t xml:space="preserve">cho từng hoạt động xử lý dữ liệu nhạy cảm trước khi triển khai; đào tạo chuyên sâu cho nhân sự tiếp xúc dữ liệu nhạy cảm;</w:t>
      </w:r>
      <w:r>
        <w:t xml:space="preserve"> </w:t>
      </w:r>
      <w:r>
        <w:rPr>
          <w:b/>
          <w:bCs/>
        </w:rPr>
        <w:t xml:space="preserve">Sổ đăng ký truy cập dữ liệu nhạy cảm</w:t>
      </w:r>
      <w:r>
        <w:t xml:space="preserve"> </w:t>
      </w:r>
      <w:r>
        <w:t xml:space="preserve">(ai truy cập gì, khi nào, mục đích gì);</w:t>
      </w:r>
      <w:r>
        <w:t xml:space="preserve"> </w:t>
      </w:r>
      <w:r>
        <w:rPr>
          <w:b/>
          <w:bCs/>
        </w:rPr>
        <w:t xml:space="preserve">rà soát quyền truy cập hằng quý</w:t>
      </w:r>
      <w:r>
        <w:t xml:space="preserve">;</w:t>
      </w:r>
      <w:r>
        <w:t xml:space="preserve"> </w:t>
      </w:r>
      <w:r>
        <w:rPr>
          <w:b/>
          <w:bCs/>
        </w:rPr>
        <w:t xml:space="preserve">Sổ đăng ký ngoại lệ an ninh</w:t>
      </w:r>
      <w:r>
        <w:t xml:space="preserve"> </w:t>
      </w:r>
      <w:r>
        <w:t xml:space="preserve">ghi nhận các ngoại lệ chưa đáp ứng đủ biện pháp kèm kế hoạch khắc phục.</w:t>
      </w:r>
    </w:p>
    <w:p>
      <w:pPr>
        <w:pStyle w:val="BodyText"/>
      </w:pPr>
      <w:r>
        <w:rPr>
          <w:b/>
          <w:bCs/>
        </w:rPr>
        <w:t xml:space="preserve">25.3. Ánh xạ và quản trị.</w:t>
      </w:r>
      <w:r>
        <w:t xml:space="preserve"> </w:t>
      </w:r>
      <w:r>
        <w:t xml:space="preserve">Mỗi loại dữ liệu nhạy cảm được ánh xạ tới: sơ đồ luồng dữ liệu và hồ sơ hoạt động xử lý (ROPA); Hồ sơ đánh giá tác động xử lý (DPIA); lịch lưu trữ dữ liệu; và danh sách người/bộ phận được phép truy cập kèm lý do và mức quyền.</w:t>
      </w:r>
    </w:p>
    <w:bookmarkEnd w:id="36"/>
    <w:bookmarkStart w:id="37" w:name="Xc9dbbfbb2d66a9ef7d2a8eeba68b3bd07e21326"/>
    <w:p>
      <w:pPr>
        <w:pStyle w:val="Heading2"/>
      </w:pPr>
      <w:r>
        <w:t xml:space="preserve">Điều 26. Thời gian lưu trữ dữ liệu nhạy cảm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Loại dữ liệu nhạy cảm</w:t>
            </w:r>
          </w:p>
        </w:tc>
        <w:tc>
          <w:tcPr/>
          <w:p>
            <w:pPr>
              <w:pStyle w:val="Compact"/>
            </w:pPr>
            <w:r>
              <w:t xml:space="preserve">Thời gian lưu trữ</w:t>
            </w:r>
          </w:p>
        </w:tc>
        <w:tc>
          <w:tcPr/>
          <w:p>
            <w:pPr>
              <w:pStyle w:val="Compact"/>
            </w:pPr>
            <w:r>
              <w:t xml:space="preserve">Căn cứ</w:t>
            </w:r>
          </w:p>
        </w:tc>
      </w:tr>
      <w:tr>
        <w:tc>
          <w:tcPr/>
          <w:p>
            <w:pPr>
              <w:pStyle w:val="Compact"/>
            </w:pPr>
            <w:r>
              <w:t xml:space="preserve">Thông tin tài chính, lương trong chứng từ kế toán phụ trợ</w:t>
            </w:r>
          </w:p>
        </w:tc>
        <w:tc>
          <w:tcPr/>
          <w:p>
            <w:pPr>
              <w:pStyle w:val="Compact"/>
            </w:pPr>
            <w:r>
              <w:t xml:space="preserve">Tối thiểu 5 năm</w:t>
            </w:r>
          </w:p>
        </w:tc>
        <w:tc>
          <w:tcPr/>
          <w:p>
            <w:pPr>
              <w:pStyle w:val="Compact"/>
            </w:pPr>
            <w:r>
              <w:t xml:space="preserve">Luật Kế toán</w:t>
            </w:r>
          </w:p>
        </w:tc>
      </w:tr>
      <w:tr>
        <w:tc>
          <w:tcPr/>
          <w:p>
            <w:pPr>
              <w:pStyle w:val="Compact"/>
            </w:pPr>
            <w:r>
              <w:t xml:space="preserve">Thông tin tài chính, lương trong chứng từ ghi sổ, BCTC</w:t>
            </w:r>
          </w:p>
        </w:tc>
        <w:tc>
          <w:tcPr/>
          <w:p>
            <w:pPr>
              <w:pStyle w:val="Compact"/>
            </w:pPr>
            <w:r>
              <w:t xml:space="preserve">Tối thiểu 10 năm</w:t>
            </w:r>
          </w:p>
        </w:tc>
        <w:tc>
          <w:tcPr/>
          <w:p>
            <w:pPr>
              <w:pStyle w:val="Compact"/>
            </w:pPr>
            <w:r>
              <w:t xml:space="preserve">Luật Kế toán</w:t>
            </w:r>
          </w:p>
        </w:tc>
      </w:tr>
      <w:tr>
        <w:tc>
          <w:tcPr/>
          <w:p>
            <w:pPr>
              <w:pStyle w:val="Compact"/>
            </w:pPr>
            <w:r>
              <w:t xml:space="preserve">Hồ sơ thuế TNCN</w:t>
            </w:r>
          </w:p>
        </w:tc>
        <w:tc>
          <w:tcPr/>
          <w:p>
            <w:pPr>
              <w:pStyle w:val="Compact"/>
            </w:pPr>
            <w:r>
              <w:t xml:space="preserve">Theo Luật Quản lý thuế</w:t>
            </w:r>
          </w:p>
        </w:tc>
        <w:tc>
          <w:tcPr/>
          <w:p>
            <w:pPr>
              <w:pStyle w:val="Compact"/>
            </w:pPr>
            <w:r>
              <w:t xml:space="preserve">Luật Quản lý thuế</w:t>
            </w:r>
          </w:p>
        </w:tc>
      </w:tr>
      <w:tr>
        <w:tc>
          <w:tcPr/>
          <w:p>
            <w:pPr>
              <w:pStyle w:val="Compact"/>
            </w:pPr>
            <w:r>
              <w:t xml:space="preserve">Hồ sơ BHXH, BHYT, BHTN (gồm sức khỏe trong hồ sơ ốm/thai sản)</w:t>
            </w:r>
          </w:p>
        </w:tc>
        <w:tc>
          <w:tcPr/>
          <w:p>
            <w:pPr>
              <w:pStyle w:val="Compact"/>
            </w:pPr>
            <w:r>
              <w:t xml:space="preserve">Theo quy định BHXH Việt Nam</w:t>
            </w:r>
          </w:p>
        </w:tc>
        <w:tc>
          <w:tcPr/>
          <w:p>
            <w:pPr>
              <w:pStyle w:val="Compact"/>
            </w:pPr>
            <w:r>
              <w:t xml:space="preserve">Luật BHXH</w:t>
            </w:r>
          </w:p>
        </w:tc>
      </w:tr>
      <w:tr>
        <w:tc>
          <w:tcPr/>
          <w:p>
            <w:pPr>
              <w:pStyle w:val="Compact"/>
            </w:pPr>
            <w:r>
              <w:t xml:space="preserve">Hồ sơ tư vấn pháp lý chứa dữ liệu nhạy cảm</w:t>
            </w:r>
          </w:p>
        </w:tc>
        <w:tc>
          <w:tcPr/>
          <w:p>
            <w:pPr>
              <w:pStyle w:val="Compact"/>
            </w:pPr>
            <w:r>
              <w:t xml:space="preserve">Theo hợp đồng dịch vụ và pháp luật liên quan;</w:t>
            </w:r>
            <w:r>
              <w:t xml:space="preserve">hồ sơ do công ty luật đối tác lưu giữ áp dụng Luật Luật sư</w:t>
            </w:r>
          </w:p>
        </w:tc>
        <w:tc>
          <w:tcPr/>
          <w:p>
            <w:pPr>
              <w:pStyle w:val="Compact"/>
            </w:pPr>
            <w:r>
              <w:t xml:space="preserve">Hợp đồng / Luật Luật sư (đối tác)</w:t>
            </w:r>
          </w:p>
        </w:tc>
      </w:tr>
      <w:tr>
        <w:tc>
          <w:tcPr/>
          <w:p>
            <w:pPr>
              <w:pStyle w:val="Compact"/>
            </w:pPr>
            <w:r>
              <w:t xml:space="preserve">Hồ sơ cổ đông, vốn góp</w:t>
            </w:r>
          </w:p>
        </w:tc>
        <w:tc>
          <w:tcPr/>
          <w:p>
            <w:pPr>
              <w:pStyle w:val="Compact"/>
            </w:pPr>
            <w:r>
              <w:t xml:space="preserve">Theo Luật Doanh nghiệp và thời gian khách hàng còn hoạt động</w:t>
            </w:r>
          </w:p>
        </w:tc>
        <w:tc>
          <w:tcPr/>
          <w:p>
            <w:pPr>
              <w:pStyle w:val="Compact"/>
            </w:pPr>
            <w:r>
              <w:t xml:space="preserve">Luật Doanh nghiệp</w:t>
            </w:r>
          </w:p>
        </w:tc>
      </w:tr>
      <w:tr>
        <w:tc>
          <w:tcPr/>
          <w:p>
            <w:pPr>
              <w:pStyle w:val="Compact"/>
            </w:pPr>
            <w:r>
              <w:t xml:space="preserve">Dữ liệu sinh trắc học (chữ ký điện tử)</w:t>
            </w:r>
          </w:p>
        </w:tc>
        <w:tc>
          <w:tcPr/>
          <w:p>
            <w:pPr>
              <w:pStyle w:val="Compact"/>
            </w:pPr>
            <w:r>
              <w:t xml:space="preserve">Theo thời hạn ủy quyền và yêu cầu pháp lý liên quan</w:t>
            </w:r>
          </w:p>
        </w:tc>
        <w:tc>
          <w:tcPr/>
          <w:p>
            <w:pPr>
              <w:pStyle w:val="Compact"/>
            </w:pPr>
            <w:r>
              <w:t xml:space="preserve">Hợp đồng và pháp luật giao dịch điện tử</w:t>
            </w:r>
          </w:p>
        </w:tc>
      </w:tr>
    </w:tbl>
    <w:bookmarkEnd w:id="37"/>
    <w:bookmarkStart w:id="38" w:name="Xbc4f430b1c932a40ec88f870e089c727488314b"/>
    <w:p>
      <w:pPr>
        <w:pStyle w:val="Heading2"/>
      </w:pPr>
      <w:r>
        <w:t xml:space="preserve">Điều 27. Chuyển dữ liệu nhạy cảm ra nước ngoài</w:t>
      </w:r>
    </w:p>
    <w:p>
      <w:pPr>
        <w:pStyle w:val="FirstParagraph"/>
      </w:pPr>
      <w:r>
        <w:t xml:space="preserve">Vì oBacker sử dụng Google Workspace, dữ liệu nhạy cảm có thể được lưu trữ/xử lý tại các trung tâm dữ liệu của Google ngoài lãnh thổ Việt Nam. oBacker: lập và lưu giữ</w:t>
      </w:r>
      <w:r>
        <w:t xml:space="preserve"> </w:t>
      </w:r>
      <w:r>
        <w:rPr>
          <w:b/>
          <w:bCs/>
        </w:rPr>
        <w:t xml:space="preserve">DTIA riêng cho dữ liệu nhạy cảm</w:t>
      </w:r>
      <w:r>
        <w:t xml:space="preserve">, sẵn sàng nộp cho cơ quan có thẩm quyền trong</w:t>
      </w:r>
      <w:r>
        <w:t xml:space="preserve"> </w:t>
      </w:r>
      <w:r>
        <w:rPr>
          <w:b/>
          <w:bCs/>
        </w:rPr>
        <w:t xml:space="preserve">60 ngày</w:t>
      </w:r>
      <w:r>
        <w:t xml:space="preserve"> </w:t>
      </w:r>
      <w:r>
        <w:t xml:space="preserve">kể từ ngày chuyển, theo Nghị định 356/2025/NĐ-CP; tự đánh giá năng lực bảo vệ của Google (ISO 27001, SOC 2, DPA); áp dụng biện pháp tăng cường (mã hóa, kiểm soát truy cập chặt, MFA, giám sát nhật ký); và thực hiện thủ tục pháp lý với cơ quan có thẩm quyền. Với việc chuyển sang bên thứ ba khác (ngoài Google), oBacker thực hiện DTIA riêng, thông báo cho Quý Khách khi cần và bảo đảm điều kiện chuyển hợp pháp.</w:t>
      </w:r>
    </w:p>
    <w:bookmarkEnd w:id="38"/>
    <w:bookmarkStart w:id="39" w:name="X07d7c5e1be120d946f0f523dbec75ded7b81302"/>
    <w:p>
      <w:pPr>
        <w:pStyle w:val="Heading2"/>
      </w:pPr>
      <w:r>
        <w:t xml:space="preserve">Điều 28. Quyền của Chủ thể dữ liệu đối với dữ liệu nhạy cảm</w:t>
      </w:r>
    </w:p>
    <w:p>
      <w:pPr>
        <w:pStyle w:val="FirstParagraph"/>
      </w:pPr>
      <w:r>
        <w:rPr>
          <w:b/>
          <w:bCs/>
        </w:rPr>
        <w:t xml:space="preserve">28.1.</w:t>
      </w:r>
      <w:r>
        <w:t xml:space="preserve"> </w:t>
      </w:r>
      <w:r>
        <w:t xml:space="preserve">Quyền của Quý Khách đối với dữ liệu nhạy cảm áp dụng theo Điều 13, cùng các biện pháp bảo vệ tăng cường tại Phần này.</w:t>
      </w:r>
    </w:p>
    <w:p>
      <w:pPr>
        <w:pStyle w:val="BodyText"/>
      </w:pPr>
      <w:r>
        <w:rPr>
          <w:b/>
          <w:bCs/>
        </w:rPr>
        <w:t xml:space="preserve">28.2. Cơ chế khiếu nại.</w:t>
      </w:r>
      <w:r>
        <w:t xml:space="preserve"> </w:t>
      </w:r>
      <w:r>
        <w:t xml:space="preserve">Quý Khách gửi yêu cầu/khiếu nại tới đầu mối DPO (Điều 20); oBacker xác minh danh tính; phản hồi trong thời hạn pháp luật quy định (bao gồm mốc</w:t>
      </w:r>
      <w:r>
        <w:t xml:space="preserve"> </w:t>
      </w:r>
      <w:r>
        <w:rPr>
          <w:b/>
          <w:bCs/>
        </w:rPr>
        <w:t xml:space="preserve">72 giờ</w:t>
      </w:r>
      <w:r>
        <w:t xml:space="preserve"> </w:t>
      </w:r>
      <w:r>
        <w:t xml:space="preserve">với một số yêu cầu như hạn chế xử lý theo NĐ 356/2025); trường hợp từ chối, nêu rõ lý do bằng văn bản. Nếu chưa hài lòng, Quý Khách có quyền khiếu nại, tố cáo, khởi kiện tới cơ quan có thẩm quyền, bao gồm</w:t>
      </w:r>
      <w:r>
        <w:t xml:space="preserve"> </w:t>
      </w:r>
      <w:r>
        <w:rPr>
          <w:b/>
          <w:bCs/>
        </w:rPr>
        <w:t xml:space="preserve">A05; Bộ Công an</w:t>
      </w:r>
      <w:r>
        <w:t xml:space="preserve"> </w:t>
      </w:r>
      <w:r>
        <w:t xml:space="preserve">và tòa án có thẩm quyền.</w:t>
      </w:r>
    </w:p>
    <w:p>
      <w:pPr>
        <w:pStyle w:val="BlockText"/>
      </w:pPr>
      <w:r>
        <w:rPr>
          <w:b/>
          <w:bCs/>
        </w:rPr>
        <w:t xml:space="preserve">Lưu ý đối với NLĐ/cổ đông của khách hàng:</w:t>
      </w:r>
      <w:r>
        <w:t xml:space="preserve"> </w:t>
      </w:r>
      <w:r>
        <w:t xml:space="preserve">với dữ liệu nhạy cảm oBacker xử lý theo chỉ dẫn của khách hàng, việc thực hiện quyền cần phối hợp với khách hàng (Bên Kiểm soát chính). oBacker tiếp nhận yêu cầu và phối hợp với khách hàng để hỗ trợ Quý Khách.</w:t>
      </w:r>
    </w:p>
    <w:bookmarkEnd w:id="39"/>
    <w:bookmarkStart w:id="40" w:name="điều-29.-hiệu-lực-thi-hành"/>
    <w:p>
      <w:pPr>
        <w:pStyle w:val="Heading2"/>
      </w:pPr>
      <w:r>
        <w:t xml:space="preserve">Điều 29. Hiệu lực thi hành</w:t>
      </w:r>
    </w:p>
    <w:p>
      <w:pPr>
        <w:pStyle w:val="FirstParagraph"/>
      </w:pPr>
      <w:r>
        <w:t xml:space="preserve">Chính sách có hiệu lực kể từ ngày 21/09/2026. Phiên bản R.1.0.0 (hợp nhất) thay thế mọi phiên bản trước đó (nếu có), bao gồm các bản Chính sách bảo vệ dữ liệu cá nhân chung và Chính sách bảo vệ dữ liệu cá nhân nhạy cảm riêng lẻ.</w:t>
      </w:r>
    </w:p>
    <w:p>
      <w:pPr>
        <w:pStyle w:val="BodyText"/>
      </w:pPr>
      <w:r>
        <w:t xml:space="preserve">Đà Nẵng, ngày 21 tháng 09 năm 2026</w:t>
      </w:r>
      <w:r>
        <w:t xml:space="preserve"> </w:t>
      </w:r>
      <w:r>
        <w:rPr>
          <w:b/>
          <w:bCs/>
        </w:rPr>
        <w:t xml:space="preserve">ĐẠI DIỆN CÔNG TY CỔ PHẦN OBACKER</w:t>
      </w:r>
      <w:r>
        <w:t xml:space="preserve"> </w:t>
      </w:r>
      <w:r>
        <w:t xml:space="preserve">(Ký, ghi rõ họ tên, đóng dấu)</w:t>
      </w:r>
    </w:p>
    <w:p>
      <w:r>
        <w:pict>
          <v:rect style="width:0;height:1.5pt" o:hralign="center" o:hrstd="t" o:hr="t"/>
        </w:pict>
      </w:r>
    </w:p>
    <w:p>
      <w:pPr>
        <w:pStyle w:val="FirstParagraph"/>
      </w:pPr>
      <w:r>
        <w:rPr>
          <w:i/>
          <w:iCs/>
        </w:rPr>
        <w:t xml:space="preserve">Người sở hữu tài liệu: Ban biên soạn oBacker. Mọi thay đổi phải ghi vào Nhật ký sửa.</w:t>
      </w:r>
    </w:p>
    <w:bookmarkEnd w:id="40"/>
    <w:bookmarkStart w:id="41" w:name="nhật-ký-sửa"/>
    <w:p>
      <w:pPr>
        <w:pStyle w:val="Heading2"/>
      </w:pPr>
      <w:r>
        <w:t xml:space="preserve">NHẬT KÝ SỬA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Ngày</w:t>
            </w:r>
          </w:p>
        </w:tc>
        <w:tc>
          <w:tcPr/>
          <w:p>
            <w:pPr>
              <w:pStyle w:val="Compact"/>
            </w:pPr>
            <w:r>
              <w:t xml:space="preserve">Bản</w:t>
            </w:r>
          </w:p>
        </w:tc>
        <w:tc>
          <w:tcPr/>
          <w:p>
            <w:pPr>
              <w:pStyle w:val="Compact"/>
            </w:pPr>
            <w:r>
              <w:t xml:space="preserve">Nội dung</w:t>
            </w:r>
          </w:p>
        </w:tc>
      </w:tr>
      <w:tr>
        <w:tc>
          <w:tcPr/>
          <w:p>
            <w:pPr>
              <w:pStyle w:val="Compact"/>
            </w:pPr>
            <w:r>
              <w:t xml:space="preserve">21/09/2026</w:t>
            </w:r>
          </w:p>
        </w:tc>
        <w:tc>
          <w:tcPr/>
          <w:p>
            <w:pPr>
              <w:pStyle w:val="Compact"/>
            </w:pPr>
            <w:r>
              <w:t xml:space="preserve">R.1.0.0</w:t>
            </w:r>
          </w:p>
        </w:tc>
        <w:tc>
          <w:tcPr/>
          <w:p>
            <w:pPr>
              <w:pStyle w:val="Compact"/>
            </w:pPr>
            <w:r>
              <w:t xml:space="preserve">Ban hành.</w:t>
            </w:r>
          </w:p>
        </w:tc>
      </w:tr>
    </w:tbl>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BẢO VỆ DỮ LIỆU CÁ NHÂN</dc:title>
  <dc:creator/>
  <dc:language>vi-VN</dc:language>
  <cp:keywords/>
  <dcterms:created xsi:type="dcterms:W3CDTF">2026-09-21T06:40:01Z</dcterms:created>
  <dcterms:modified xsi:type="dcterms:W3CDTF">2026-09-21T06:40:01Z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ribution">
    <vt:lpwstr>khách hàng</vt:lpwstr>
  </property>
  <property fmtid="{D5CDD505-2E9C-101B-9397-08002B2CF9AE}" pid="3" name="folder">
    <vt:lpwstr>09_TnC</vt:lpwstr>
  </property>
  <property fmtid="{D5CDD505-2E9C-101B-9397-08002B2CF9AE}" pid="4" name="language">
    <vt:lpwstr>vi</vt:lpwstr>
  </property>
  <property fmtid="{D5CDD505-2E9C-101B-9397-08002B2CF9AE}" pid="5" name="previous_version">
    <vt:lpwstr/>
  </property>
  <property fmtid="{D5CDD505-2E9C-101B-9397-08002B2CF9AE}" pid="6" name="status">
    <vt:lpwstr>đang áp dụng</vt:lpwstr>
  </property>
  <property fmtid="{D5CDD505-2E9C-101B-9397-08002B2CF9AE}" pid="7" name="tags">
    <vt:lpwstr/>
  </property>
  <property fmtid="{D5CDD505-2E9C-101B-9397-08002B2CF9AE}" pid="8" name="type">
    <vt:lpwstr>tnc</vt:lpwstr>
  </property>
  <property fmtid="{D5CDD505-2E9C-101B-9397-08002B2CF9AE}" pid="9" name="version">
    <vt:lpwstr>R.1.0.0</vt:lpwstr>
  </property>
</Properties>
</file>