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b/>
        </w:rPr>
        <w:t>ALUMABLE  •  GAMIFICATION ENGINE</w:t>
      </w:r>
    </w:p>
    <w:p>
      <w:pPr>
        <w:pStyle w:val="Title"/>
      </w:pPr>
      <w:r>
        <w:t>Final Technical Handover</w:t>
        <w:br/>
        <w:t>Integrated Arcade Release</w:t>
      </w:r>
    </w:p>
    <w:p>
      <w:r>
        <w:t>Student experience • XP → Level → Capability Unlock • Educator / Employer Portals</w:t>
      </w:r>
    </w:p>
    <w:p>
      <w:pPr>
        <w:keepNext/>
        <w:jc w:val="center"/>
      </w:pPr>
      <w:r>
        <w:drawing>
          <wp:inline xmlns:a="http://schemas.openxmlformats.org/drawingml/2006/main" xmlns:pic="http://schemas.openxmlformats.org/drawingml/2006/picture">
            <wp:extent cx="6035040" cy="2132381"/>
            <wp:docPr id="1" name="Picture 1"/>
            <wp:cNvGraphicFramePr>
              <a:graphicFrameLocks noChangeAspect="1"/>
            </wp:cNvGraphicFramePr>
            <a:graphic>
              <a:graphicData uri="http://schemas.openxmlformats.org/drawingml/2006/picture">
                <pic:pic>
                  <pic:nvPicPr>
                    <pic:cNvPr id="0" name="architecture-integrated.png"/>
                    <pic:cNvPicPr/>
                  </pic:nvPicPr>
                  <pic:blipFill>
                    <a:blip r:embed="rId11"/>
                    <a:stretch>
                      <a:fillRect/>
                    </a:stretch>
                  </pic:blipFill>
                  <pic:spPr>
                    <a:xfrm>
                      <a:off x="0" y="0"/>
                      <a:ext cx="6035040" cy="2132381"/>
                    </a:xfrm>
                    <a:prstGeom prst="rect"/>
                  </pic:spPr>
                </pic:pic>
              </a:graphicData>
            </a:graphic>
          </wp:inline>
        </w:drawing>
      </w:r>
    </w:p>
    <w:p>
      <w:pPr>
        <w:spacing w:after="200"/>
        <w:jc w:val="center"/>
      </w:pPr>
      <w:r>
        <w:rPr>
          <w:i/>
          <w:color w:val="4B5E6F"/>
          <w:sz w:val="16"/>
        </w:rPr>
        <w:t>System architecture — updated integration design and data ownership</w:t>
      </w:r>
    </w:p>
    <w:p>
      <w:pPr>
        <w:spacing w:after="60"/>
      </w:pPr>
      <w:r>
        <w:rPr>
          <w:b/>
          <w:color w:val="C6831F"/>
          <w:sz w:val="18"/>
        </w:rPr>
        <w:t>RELEASE IDENTIFICATION</w:t>
      </w:r>
    </w:p>
    <w:tbl>
      <w:tblPr>
        <w:tblStyle w:val="TableGrid"/>
        <w:tblW w:type="auto" w:w="0"/>
        <w:tblLayout w:type="autofit"/>
        <w:tblLook w:firstColumn="1" w:firstRow="1" w:lastColumn="0" w:lastRow="0" w:noHBand="0" w:noVBand="1" w:val="04A0"/>
      </w:tblPr>
      <w:tblGrid>
        <w:gridCol w:w="4925"/>
        <w:gridCol w:w="4925"/>
      </w:tblGrid>
      <w:tr>
        <w:tc>
          <w:tcPr>
            <w:tcW w:type="dxa" w:w="4925"/>
            <w:shd w:fill="163E61"/>
          </w:tcPr>
          <w:p>
            <w:r>
              <w:rPr>
                <w:b/>
                <w:color w:val="FFFFFF"/>
                <w:sz w:val="16"/>
              </w:rPr>
              <w:t>Field</w:t>
            </w:r>
          </w:p>
        </w:tc>
        <w:tc>
          <w:tcPr>
            <w:tcW w:type="dxa" w:w="4925"/>
            <w:shd w:fill="163E61"/>
          </w:tcPr>
          <w:p>
            <w:r>
              <w:rPr>
                <w:b/>
                <w:color w:val="FFFFFF"/>
                <w:sz w:val="16"/>
              </w:rPr>
              <w:t>Handover status</w:t>
            </w:r>
          </w:p>
        </w:tc>
      </w:tr>
      <w:tr>
        <w:tc>
          <w:tcPr>
            <w:tcW w:type="dxa" w:w="4925"/>
            <w:vAlign w:val="center"/>
            <w:shd w:fill="EFF5FA"/>
          </w:tcPr>
          <w:p>
            <w:pPr>
              <w:spacing w:after="20"/>
            </w:pPr>
            <w:r>
              <w:rPr>
                <w:sz w:val="16"/>
              </w:rPr>
              <w:t>Prepared</w:t>
            </w:r>
          </w:p>
        </w:tc>
        <w:tc>
          <w:tcPr>
            <w:tcW w:type="dxa" w:w="4925"/>
            <w:vAlign w:val="center"/>
            <w:shd w:fill="EFF5FA"/>
          </w:tcPr>
          <w:p>
            <w:pPr>
              <w:spacing w:after="20"/>
            </w:pPr>
            <w:r>
              <w:rPr>
                <w:sz w:val="16"/>
              </w:rPr>
              <w:t>14 October 2026 • capstone team review draft</w:t>
            </w:r>
          </w:p>
        </w:tc>
      </w:tr>
      <w:tr>
        <w:tc>
          <w:tcPr>
            <w:tcW w:type="dxa" w:w="4925"/>
            <w:vAlign w:val="center"/>
          </w:tcPr>
          <w:p>
            <w:pPr>
              <w:spacing w:after="20"/>
            </w:pPr>
            <w:r>
              <w:rPr>
                <w:sz w:val="16"/>
              </w:rPr>
              <w:t>Frontend</w:t>
            </w:r>
          </w:p>
        </w:tc>
        <w:tc>
          <w:tcPr>
            <w:tcW w:type="dxa" w:w="4925"/>
            <w:vAlign w:val="center"/>
          </w:tcPr>
          <w:p>
            <w:pPr>
              <w:spacing w:after="20"/>
            </w:pPr>
            <w:r>
              <w:rPr>
                <w:sz w:val="16"/>
              </w:rPr>
              <w:t>Retro arcade, no opening poster; Light and Night modes</w:t>
            </w:r>
          </w:p>
        </w:tc>
      </w:tr>
      <w:tr>
        <w:tc>
          <w:tcPr>
            <w:tcW w:type="dxa" w:w="4925"/>
            <w:vAlign w:val="center"/>
            <w:shd w:fill="EFF5FA"/>
          </w:tcPr>
          <w:p>
            <w:pPr>
              <w:spacing w:after="20"/>
            </w:pPr>
            <w:r>
              <w:rPr>
                <w:sz w:val="16"/>
              </w:rPr>
              <w:t>Backend</w:t>
            </w:r>
          </w:p>
        </w:tc>
        <w:tc>
          <w:tcPr>
            <w:tcW w:type="dxa" w:w="4925"/>
            <w:vAlign w:val="center"/>
            <w:shd w:fill="EFF5FA"/>
          </w:tcPr>
          <w:p>
            <w:pPr>
              <w:spacing w:after="20"/>
            </w:pPr>
            <w:r>
              <w:rPr>
                <w:sz w:val="16"/>
              </w:rPr>
              <w:t>Express + SQLite, authenticated API; original XP rules preserved</w:t>
            </w:r>
          </w:p>
        </w:tc>
      </w:tr>
      <w:tr>
        <w:tc>
          <w:tcPr>
            <w:tcW w:type="dxa" w:w="4925"/>
            <w:vAlign w:val="center"/>
          </w:tcPr>
          <w:p>
            <w:pPr>
              <w:spacing w:after="20"/>
            </w:pPr>
            <w:r>
              <w:rPr>
                <w:sz w:val="16"/>
              </w:rPr>
              <w:t>Delivery state</w:t>
            </w:r>
          </w:p>
        </w:tc>
        <w:tc>
          <w:tcPr>
            <w:tcW w:type="dxa" w:w="4925"/>
            <w:vAlign w:val="center"/>
          </w:tcPr>
          <w:p>
            <w:pPr>
              <w:spacing w:after="20"/>
            </w:pPr>
            <w:r>
              <w:rPr>
                <w:sz w:val="16"/>
              </w:rPr>
              <w:t>Code changes supplied for validation on the team’s Mac; no production deployment claimed</w:t>
            </w:r>
          </w:p>
        </w:tc>
      </w:tr>
      <w:tr>
        <w:tc>
          <w:tcPr>
            <w:tcW w:type="dxa" w:w="4925"/>
            <w:vAlign w:val="center"/>
            <w:shd w:fill="EFF5FA"/>
          </w:tcPr>
          <w:p>
            <w:pPr>
              <w:spacing w:after="20"/>
            </w:pPr>
            <w:r>
              <w:rPr>
                <w:sz w:val="16"/>
              </w:rPr>
              <w:t>Required reviewer</w:t>
            </w:r>
          </w:p>
        </w:tc>
        <w:tc>
          <w:tcPr>
            <w:tcW w:type="dxa" w:w="4925"/>
            <w:vAlign w:val="center"/>
            <w:shd w:fill="EFF5FA"/>
          </w:tcPr>
          <w:p>
            <w:pPr>
              <w:spacing w:after="20"/>
            </w:pPr>
            <w:r>
              <w:rPr>
                <w:sz w:val="16"/>
              </w:rPr>
              <w:t>Client/supervisor and team to verify and sign off</w:t>
            </w:r>
          </w:p>
        </w:tc>
      </w:tr>
    </w:tbl>
    <w:p>
      <w:pPr>
        <w:spacing w:after="0"/>
      </w:pPr>
    </w:p>
    <w:p>
      <w:r>
        <w:t>Status convention used throughout: “verified previously” refers to supplied screenshots from the prior release; “implemented—retest” identifies new code awaiting fresh installation and test evidence. No stakeholder approval has been assumed.</w:t>
      </w:r>
    </w:p>
    <w:p>
      <w:r>
        <w:br w:type="page"/>
      </w:r>
    </w:p>
    <w:p>
      <w:pPr>
        <w:pStyle w:val="Heading1"/>
      </w:pPr>
      <w:r>
        <w:t>1. Purpose and original requirements</w:t>
      </w:r>
    </w:p>
    <w:p>
      <w:r>
        <w:t>Alumable is a Melbourne education-technology platform connecting students and employers through short gigs and projects. The sponsor brief, attributed to David Yip (Founder &amp; CEO), requests an MVP gamification engine that allows student activities to earn experience points, progress through levels, unlock platform capabilities and expose APIs to student/educator/employer portals.</w:t>
      </w:r>
    </w:p>
    <w:p>
      <w:pPr>
        <w:spacing w:after="60"/>
      </w:pPr>
      <w:r>
        <w:rPr>
          <w:b/>
          <w:color w:val="C6831F"/>
          <w:sz w:val="18"/>
        </w:rPr>
        <w:t>BRIEF-ALIGNED OUTCOMES</w:t>
      </w:r>
    </w:p>
    <w:tbl>
      <w:tblPr>
        <w:tblStyle w:val="TableGrid"/>
        <w:tblW w:type="auto" w:w="0"/>
        <w:tblLayout w:type="autofit"/>
        <w:tblLook w:firstColumn="1" w:firstRow="1" w:lastColumn="0" w:lastRow="0" w:noHBand="0" w:noVBand="1" w:val="04A0"/>
      </w:tblPr>
      <w:tblGrid>
        <w:gridCol w:w="4925"/>
        <w:gridCol w:w="4925"/>
      </w:tblGrid>
      <w:tr>
        <w:tc>
          <w:tcPr>
            <w:tcW w:type="dxa" w:w="4925"/>
            <w:shd w:fill="163E61"/>
          </w:tcPr>
          <w:p>
            <w:r>
              <w:rPr>
                <w:b/>
                <w:color w:val="FFFFFF"/>
                <w:sz w:val="16"/>
              </w:rPr>
              <w:t>Original objective</w:t>
            </w:r>
          </w:p>
        </w:tc>
        <w:tc>
          <w:tcPr>
            <w:tcW w:type="dxa" w:w="4925"/>
            <w:shd w:fill="163E61"/>
          </w:tcPr>
          <w:p>
            <w:r>
              <w:rPr>
                <w:b/>
                <w:color w:val="FFFFFF"/>
                <w:sz w:val="16"/>
              </w:rPr>
              <w:t>Delivered or current status</w:t>
            </w:r>
          </w:p>
        </w:tc>
      </w:tr>
      <w:tr>
        <w:tc>
          <w:tcPr>
            <w:tcW w:type="dxa" w:w="4925"/>
            <w:vAlign w:val="center"/>
            <w:shd w:fill="EFF5FA"/>
          </w:tcPr>
          <w:p>
            <w:pPr>
              <w:spacing w:after="20"/>
            </w:pPr>
            <w:r>
              <w:rPr>
                <w:sz w:val="16"/>
              </w:rPr>
              <w:t>Award XP for activities and challenges</w:t>
            </w:r>
          </w:p>
        </w:tc>
        <w:tc>
          <w:tcPr>
            <w:tcW w:type="dxa" w:w="4925"/>
            <w:vAlign w:val="center"/>
            <w:shd w:fill="EFF5FA"/>
          </w:tcPr>
          <w:p>
            <w:pPr>
              <w:spacing w:after="20"/>
            </w:pPr>
            <w:r>
              <w:rPr>
                <w:sz w:val="16"/>
              </w:rPr>
              <w:t>Backend rules and claim endpoint implemented; client-side XP replaced by API requests — retest</w:t>
            </w:r>
          </w:p>
        </w:tc>
      </w:tr>
      <w:tr>
        <w:tc>
          <w:tcPr>
            <w:tcW w:type="dxa" w:w="4925"/>
            <w:vAlign w:val="center"/>
          </w:tcPr>
          <w:p>
            <w:pPr>
              <w:spacing w:after="20"/>
            </w:pPr>
            <w:r>
              <w:rPr>
                <w:sz w:val="16"/>
              </w:rPr>
              <w:t>Educator / employer assignment and marking</w:t>
            </w:r>
          </w:p>
        </w:tc>
        <w:tc>
          <w:tcPr>
            <w:tcW w:type="dxa" w:w="4925"/>
            <w:vAlign w:val="center"/>
          </w:tcPr>
          <w:p>
            <w:pPr>
              <w:spacing w:after="20"/>
            </w:pPr>
            <w:r>
              <w:rPr>
                <w:sz w:val="16"/>
              </w:rPr>
              <w:t>Existing protected backend endpoints and portals retained</w:t>
            </w:r>
          </w:p>
        </w:tc>
      </w:tr>
      <w:tr>
        <w:tc>
          <w:tcPr>
            <w:tcW w:type="dxa" w:w="4925"/>
            <w:vAlign w:val="center"/>
            <w:shd w:fill="EFF5FA"/>
          </w:tcPr>
          <w:p>
            <w:pPr>
              <w:spacing w:after="20"/>
            </w:pPr>
            <w:r>
              <w:rPr>
                <w:sz w:val="16"/>
              </w:rPr>
              <w:t>Level thresholds and feature unlocks</w:t>
            </w:r>
          </w:p>
        </w:tc>
        <w:tc>
          <w:tcPr>
            <w:tcW w:type="dxa" w:w="4925"/>
            <w:vAlign w:val="center"/>
            <w:shd w:fill="EFF5FA"/>
          </w:tcPr>
          <w:p>
            <w:pPr>
              <w:spacing w:after="20"/>
            </w:pPr>
            <w:r>
              <w:rPr>
                <w:sz w:val="16"/>
              </w:rPr>
              <w:t>Backend authoritative rules; visualisation on student dashboard — retest</w:t>
            </w:r>
          </w:p>
        </w:tc>
      </w:tr>
      <w:tr>
        <w:tc>
          <w:tcPr>
            <w:tcW w:type="dxa" w:w="4925"/>
            <w:vAlign w:val="center"/>
          </w:tcPr>
          <w:p>
            <w:pPr>
              <w:spacing w:after="20"/>
            </w:pPr>
            <w:r>
              <w:rPr>
                <w:sz w:val="16"/>
              </w:rPr>
              <w:t>Consumable APIs</w:t>
            </w:r>
          </w:p>
        </w:tc>
        <w:tc>
          <w:tcPr>
            <w:tcW w:type="dxa" w:w="4925"/>
            <w:vAlign w:val="center"/>
          </w:tcPr>
          <w:p>
            <w:pPr>
              <w:spacing w:after="20"/>
            </w:pPr>
            <w:r>
              <w:rPr>
                <w:sz w:val="16"/>
              </w:rPr>
              <w:t>JWT-protected API exists; student data now read from server — retest</w:t>
            </w:r>
          </w:p>
        </w:tc>
      </w:tr>
      <w:tr>
        <w:tc>
          <w:tcPr>
            <w:tcW w:type="dxa" w:w="4925"/>
            <w:vAlign w:val="center"/>
            <w:shd w:fill="EFF5FA"/>
          </w:tcPr>
          <w:p>
            <w:pPr>
              <w:spacing w:after="20"/>
            </w:pPr>
            <w:r>
              <w:rPr>
                <w:sz w:val="16"/>
              </w:rPr>
              <w:t>Future employer-sponsored bonus/reward paths</w:t>
            </w:r>
          </w:p>
        </w:tc>
        <w:tc>
          <w:tcPr>
            <w:tcW w:type="dxa" w:w="4925"/>
            <w:vAlign w:val="center"/>
            <w:shd w:fill="EFF5FA"/>
          </w:tcPr>
          <w:p>
            <w:pPr>
              <w:spacing w:after="20"/>
            </w:pPr>
            <w:r>
              <w:rPr>
                <w:sz w:val="16"/>
              </w:rPr>
              <w:t>Architecture supports assignments/bonus XP; full sponsor rewards not evidenced</w:t>
            </w:r>
          </w:p>
        </w:tc>
      </w:tr>
      <w:tr>
        <w:tc>
          <w:tcPr>
            <w:tcW w:type="dxa" w:w="4925"/>
            <w:vAlign w:val="center"/>
          </w:tcPr>
          <w:p>
            <w:pPr>
              <w:spacing w:after="20"/>
            </w:pPr>
            <w:r>
              <w:rPr>
                <w:sz w:val="16"/>
              </w:rPr>
              <w:t>Integrate with MySQL / AWS / existing platform</w:t>
            </w:r>
          </w:p>
        </w:tc>
        <w:tc>
          <w:tcPr>
            <w:tcW w:type="dxa" w:w="4925"/>
            <w:vAlign w:val="center"/>
          </w:tcPr>
          <w:p>
            <w:pPr>
              <w:spacing w:after="20"/>
            </w:pPr>
            <w:r>
              <w:rPr>
                <w:sz w:val="16"/>
              </w:rPr>
              <w:t>Not yet completed or accepted; current database is SQLite sandbox</w:t>
            </w:r>
          </w:p>
        </w:tc>
      </w:tr>
    </w:tbl>
    <w:p>
      <w:pPr>
        <w:spacing w:after="0"/>
      </w:pPr>
    </w:p>
    <w:p>
      <w:pPr>
        <w:pStyle w:val="Heading1"/>
      </w:pPr>
      <w:r>
        <w:t>2. What is included in this handover</w:t>
      </w:r>
    </w:p>
    <w:p>
      <w:pPr>
        <w:pStyle w:val="ListBullet"/>
      </w:pPr>
      <w:r>
        <w:t>Complete source ZIP containing the React arcade frontend, Express backend, SQLite schema, seed data and tests.</w:t>
      </w:r>
    </w:p>
    <w:p>
      <w:pPr>
        <w:pStyle w:val="ListBullet"/>
      </w:pPr>
      <w:r>
        <w:t>ARCADE-README.md with local Mac installation, roles, security audit and cross-browser verification steps.</w:t>
      </w:r>
    </w:p>
    <w:p>
      <w:pPr>
        <w:pStyle w:val="ListBullet"/>
      </w:pPr>
      <w:r>
        <w:t>INTEGRATION-CHECKLIST.md for recording release-specific validation results.</w:t>
      </w:r>
    </w:p>
    <w:p>
      <w:pPr>
        <w:pStyle w:val="ListBullet"/>
      </w:pPr>
      <w:r>
        <w:t>This report with architecture, maintenance notes, limitation register and supporting interface visuals.</w:t>
      </w:r>
    </w:p>
    <w:p>
      <w:pPr>
        <w:pStyle w:val="Heading1"/>
      </w:pPr>
      <w:r>
        <w:t>3. Technical components</w:t>
      </w:r>
    </w:p>
    <w:tbl>
      <w:tblPr>
        <w:tblStyle w:val="TableGrid"/>
        <w:tblW w:type="auto" w:w="0"/>
        <w:tblLayout w:type="autofit"/>
        <w:tblLook w:firstColumn="1" w:firstRow="1" w:lastColumn="0" w:lastRow="0" w:noHBand="0" w:noVBand="1" w:val="04A0"/>
      </w:tblPr>
      <w:tblGrid>
        <w:gridCol w:w="4925"/>
        <w:gridCol w:w="4925"/>
      </w:tblGrid>
      <w:tr>
        <w:tc>
          <w:tcPr>
            <w:tcW w:type="dxa" w:w="4925"/>
            <w:shd w:fill="163E61"/>
          </w:tcPr>
          <w:p>
            <w:r>
              <w:rPr>
                <w:b/>
                <w:color w:val="FFFFFF"/>
                <w:sz w:val="16"/>
              </w:rPr>
              <w:t>Component</w:t>
            </w:r>
          </w:p>
        </w:tc>
        <w:tc>
          <w:tcPr>
            <w:tcW w:type="dxa" w:w="4925"/>
            <w:shd w:fill="163E61"/>
          </w:tcPr>
          <w:p>
            <w:r>
              <w:rPr>
                <w:b/>
                <w:color w:val="FFFFFF"/>
                <w:sz w:val="16"/>
              </w:rPr>
              <w:t>Technology / responsibility</w:t>
            </w:r>
          </w:p>
        </w:tc>
      </w:tr>
      <w:tr>
        <w:tc>
          <w:tcPr>
            <w:tcW w:type="dxa" w:w="4925"/>
            <w:vAlign w:val="center"/>
            <w:shd w:fill="EFF5FA"/>
          </w:tcPr>
          <w:p>
            <w:pPr>
              <w:spacing w:after="20"/>
            </w:pPr>
            <w:r>
              <w:rPr>
                <w:sz w:val="16"/>
              </w:rPr>
              <w:t>Student web interface</w:t>
            </w:r>
          </w:p>
        </w:tc>
        <w:tc>
          <w:tcPr>
            <w:tcW w:type="dxa" w:w="4925"/>
            <w:vAlign w:val="center"/>
            <w:shd w:fill="EFF5FA"/>
          </w:tcPr>
          <w:p>
            <w:pPr>
              <w:spacing w:after="20"/>
            </w:pPr>
            <w:r>
              <w:rPr>
                <w:sz w:val="16"/>
              </w:rPr>
              <w:t>React, Vite, responsive arcade theme and browser-local appearance preference</w:t>
            </w:r>
          </w:p>
        </w:tc>
      </w:tr>
      <w:tr>
        <w:tc>
          <w:tcPr>
            <w:tcW w:type="dxa" w:w="4925"/>
            <w:vAlign w:val="center"/>
          </w:tcPr>
          <w:p>
            <w:pPr>
              <w:spacing w:after="20"/>
            </w:pPr>
            <w:r>
              <w:rPr>
                <w:sz w:val="16"/>
              </w:rPr>
              <w:t>Login &amp; authorisation</w:t>
            </w:r>
          </w:p>
        </w:tc>
        <w:tc>
          <w:tcPr>
            <w:tcW w:type="dxa" w:w="4925"/>
            <w:vAlign w:val="center"/>
          </w:tcPr>
          <w:p>
            <w:pPr>
              <w:spacing w:after="20"/>
            </w:pPr>
            <w:r>
              <w:rPr>
                <w:sz w:val="16"/>
              </w:rPr>
              <w:t>Email/password authentication; short-lived JWT; student/educator/employer route enforcement</w:t>
            </w:r>
          </w:p>
        </w:tc>
      </w:tr>
      <w:tr>
        <w:tc>
          <w:tcPr>
            <w:tcW w:type="dxa" w:w="4925"/>
            <w:vAlign w:val="center"/>
            <w:shd w:fill="EFF5FA"/>
          </w:tcPr>
          <w:p>
            <w:pPr>
              <w:spacing w:after="20"/>
            </w:pPr>
            <w:r>
              <w:rPr>
                <w:sz w:val="16"/>
              </w:rPr>
              <w:t>Gamification API</w:t>
            </w:r>
          </w:p>
        </w:tc>
        <w:tc>
          <w:tcPr>
            <w:tcW w:type="dxa" w:w="4925"/>
            <w:vAlign w:val="center"/>
            <w:shd w:fill="EFF5FA"/>
          </w:tcPr>
          <w:p>
            <w:pPr>
              <w:spacing w:after="20"/>
            </w:pPr>
            <w:r>
              <w:rPr>
                <w:sz w:val="16"/>
              </w:rPr>
              <w:t>Express + server-side rules for XP awards, levels, daily caps, rate limits and duplicate prevention</w:t>
            </w:r>
          </w:p>
        </w:tc>
      </w:tr>
      <w:tr>
        <w:tc>
          <w:tcPr>
            <w:tcW w:type="dxa" w:w="4925"/>
            <w:vAlign w:val="center"/>
          </w:tcPr>
          <w:p>
            <w:pPr>
              <w:spacing w:after="20"/>
            </w:pPr>
            <w:r>
              <w:rPr>
                <w:sz w:val="16"/>
              </w:rPr>
              <w:t>Data</w:t>
            </w:r>
          </w:p>
        </w:tc>
        <w:tc>
          <w:tcPr>
            <w:tcW w:type="dxa" w:w="4925"/>
            <w:vAlign w:val="center"/>
          </w:tcPr>
          <w:p>
            <w:pPr>
              <w:spacing w:after="20"/>
            </w:pPr>
            <w:r>
              <w:rPr>
                <w:sz w:val="16"/>
              </w:rPr>
              <w:t>SQLite ledger, claims, assignments, gigs, diary, avatar, course progress and audit log</w:t>
            </w:r>
          </w:p>
        </w:tc>
      </w:tr>
      <w:tr>
        <w:tc>
          <w:tcPr>
            <w:tcW w:type="dxa" w:w="4925"/>
            <w:vAlign w:val="center"/>
            <w:shd w:fill="EFF5FA"/>
          </w:tcPr>
          <w:p>
            <w:pPr>
              <w:spacing w:after="20"/>
            </w:pPr>
            <w:r>
              <w:rPr>
                <w:sz w:val="16"/>
              </w:rPr>
              <w:t>Development runtime</w:t>
            </w:r>
          </w:p>
        </w:tc>
        <w:tc>
          <w:tcPr>
            <w:tcW w:type="dxa" w:w="4925"/>
            <w:vAlign w:val="center"/>
            <w:shd w:fill="EFF5FA"/>
          </w:tcPr>
          <w:p>
            <w:pPr>
              <w:spacing w:after="20"/>
            </w:pPr>
            <w:r>
              <w:rPr>
                <w:sz w:val="16"/>
              </w:rPr>
              <w:t>Node.js 22.13+; localhost:5173 frontend and localhost:4000 backend</w:t>
            </w:r>
          </w:p>
        </w:tc>
      </w:tr>
    </w:tbl>
    <w:p>
      <w:pPr>
        <w:spacing w:after="0"/>
      </w:pPr>
    </w:p>
    <w:p>
      <w:r>
        <w:br w:type="page"/>
      </w:r>
    </w:p>
    <w:p>
      <w:pPr>
        <w:pStyle w:val="Heading1"/>
      </w:pPr>
      <w:r>
        <w:t>4. Architecture and integrated data flow</w:t>
      </w:r>
    </w:p>
    <w:p>
      <w:pPr>
        <w:keepNext/>
        <w:jc w:val="center"/>
      </w:pPr>
      <w:r>
        <w:drawing>
          <wp:inline xmlns:a="http://schemas.openxmlformats.org/drawingml/2006/main" xmlns:pic="http://schemas.openxmlformats.org/drawingml/2006/picture">
            <wp:extent cx="5943600" cy="2100072"/>
            <wp:docPr id="2" name="Picture 2"/>
            <wp:cNvGraphicFramePr>
              <a:graphicFrameLocks noChangeAspect="1"/>
            </wp:cNvGraphicFramePr>
            <a:graphic>
              <a:graphicData uri="http://schemas.openxmlformats.org/drawingml/2006/picture">
                <pic:pic>
                  <pic:nvPicPr>
                    <pic:cNvPr id="0" name="architecture-integrated.png"/>
                    <pic:cNvPicPr/>
                  </pic:nvPicPr>
                  <pic:blipFill>
                    <a:blip r:embed="rId11"/>
                    <a:stretch>
                      <a:fillRect/>
                    </a:stretch>
                  </pic:blipFill>
                  <pic:spPr>
                    <a:xfrm>
                      <a:off x="0" y="0"/>
                      <a:ext cx="5943600" cy="2100072"/>
                    </a:xfrm>
                    <a:prstGeom prst="rect"/>
                  </pic:spPr>
                </pic:pic>
              </a:graphicData>
            </a:graphic>
          </wp:inline>
        </w:drawing>
      </w:r>
    </w:p>
    <w:p>
      <w:pPr>
        <w:spacing w:after="200"/>
        <w:jc w:val="center"/>
      </w:pPr>
      <w:r>
        <w:rPr>
          <w:i/>
          <w:color w:val="4B5E6F"/>
          <w:sz w:val="16"/>
        </w:rPr>
        <w:t>The backend is authoritative for student XP, activity eligibility and account-specific progress</w:t>
      </w:r>
    </w:p>
    <w:p>
      <w:r>
        <w:t>The previous version independently stored student XP using localStorage key alumable-db-v1. A regular browser showed 1,690 XP while an Incognito session showed 1,250 XP, demonstrating a cross-session inconsistency. The updated StudentContext no longer imports or reads that local XP total. Instead, it loads authenticated API responses and uses server claim endpoints for XP changes.</w:t>
      </w:r>
    </w:p>
    <w:p>
      <w:pPr>
        <w:spacing w:after="60"/>
      </w:pPr>
      <w:r>
        <w:rPr>
          <w:b/>
          <w:color w:val="C6831F"/>
          <w:sz w:val="18"/>
        </w:rPr>
        <w:t>KEY REQUEST PATHS</w:t>
      </w:r>
    </w:p>
    <w:tbl>
      <w:tblPr>
        <w:tblStyle w:val="TableGrid"/>
        <w:tblW w:type="auto" w:w="0"/>
        <w:tblLayout w:type="autofit"/>
        <w:tblLook w:firstColumn="1" w:firstRow="1" w:lastColumn="0" w:lastRow="0" w:noHBand="0" w:noVBand="1" w:val="04A0"/>
      </w:tblPr>
      <w:tblGrid>
        <w:gridCol w:w="4925"/>
        <w:gridCol w:w="4925"/>
      </w:tblGrid>
      <w:tr>
        <w:tc>
          <w:tcPr>
            <w:tcW w:type="dxa" w:w="4925"/>
            <w:shd w:fill="163E61"/>
          </w:tcPr>
          <w:p>
            <w:r>
              <w:rPr>
                <w:b/>
                <w:color w:val="FFFFFF"/>
                <w:sz w:val="16"/>
              </w:rPr>
              <w:t>Method / route</w:t>
            </w:r>
          </w:p>
        </w:tc>
        <w:tc>
          <w:tcPr>
            <w:tcW w:type="dxa" w:w="4925"/>
            <w:shd w:fill="163E61"/>
          </w:tcPr>
          <w:p>
            <w:r>
              <w:rPr>
                <w:b/>
                <w:color w:val="FFFFFF"/>
                <w:sz w:val="16"/>
              </w:rPr>
              <w:t>Purpose</w:t>
            </w:r>
          </w:p>
        </w:tc>
      </w:tr>
      <w:tr>
        <w:tc>
          <w:tcPr>
            <w:tcW w:type="dxa" w:w="4925"/>
            <w:vAlign w:val="center"/>
            <w:shd w:fill="EFF5FA"/>
          </w:tcPr>
          <w:p>
            <w:pPr>
              <w:spacing w:after="20"/>
            </w:pPr>
            <w:r>
              <w:rPr>
                <w:sz w:val="16"/>
              </w:rPr>
              <w:t>POST /api/auth/login</w:t>
            </w:r>
          </w:p>
        </w:tc>
        <w:tc>
          <w:tcPr>
            <w:tcW w:type="dxa" w:w="4925"/>
            <w:vAlign w:val="center"/>
            <w:shd w:fill="EFF5FA"/>
          </w:tcPr>
          <w:p>
            <w:pPr>
              <w:spacing w:after="20"/>
            </w:pPr>
            <w:r>
              <w:rPr>
                <w:sz w:val="16"/>
              </w:rPr>
              <w:t>Authenticate a demo account and obtain a role-bound token</w:t>
            </w:r>
          </w:p>
        </w:tc>
      </w:tr>
      <w:tr>
        <w:tc>
          <w:tcPr>
            <w:tcW w:type="dxa" w:w="4925"/>
            <w:vAlign w:val="center"/>
          </w:tcPr>
          <w:p>
            <w:pPr>
              <w:spacing w:after="20"/>
            </w:pPr>
            <w:r>
              <w:rPr>
                <w:sz w:val="16"/>
              </w:rPr>
              <w:t>GET /api/me</w:t>
            </w:r>
          </w:p>
        </w:tc>
        <w:tc>
          <w:tcPr>
            <w:tcW w:type="dxa" w:w="4925"/>
            <w:vAlign w:val="center"/>
          </w:tcPr>
          <w:p>
            <w:pPr>
              <w:spacing w:after="20"/>
            </w:pPr>
            <w:r>
              <w:rPr>
                <w:sz w:val="16"/>
              </w:rPr>
              <w:t>Read authoritative total XP, level, unlocks, daily cap, avatar</w:t>
            </w:r>
          </w:p>
        </w:tc>
      </w:tr>
      <w:tr>
        <w:tc>
          <w:tcPr>
            <w:tcW w:type="dxa" w:w="4925"/>
            <w:vAlign w:val="center"/>
            <w:shd w:fill="EFF5FA"/>
          </w:tcPr>
          <w:p>
            <w:pPr>
              <w:spacing w:after="20"/>
            </w:pPr>
            <w:r>
              <w:rPr>
                <w:sz w:val="16"/>
              </w:rPr>
              <w:t>GET /api/activities</w:t>
            </w:r>
          </w:p>
        </w:tc>
        <w:tc>
          <w:tcPr>
            <w:tcW w:type="dxa" w:w="4925"/>
            <w:vAlign w:val="center"/>
            <w:shd w:fill="EFF5FA"/>
          </w:tcPr>
          <w:p>
            <w:pPr>
              <w:spacing w:after="20"/>
            </w:pPr>
            <w:r>
              <w:rPr>
                <w:sz w:val="16"/>
              </w:rPr>
              <w:t>Read activities with current server claim eligibility</w:t>
            </w:r>
          </w:p>
        </w:tc>
      </w:tr>
      <w:tr>
        <w:tc>
          <w:tcPr>
            <w:tcW w:type="dxa" w:w="4925"/>
            <w:vAlign w:val="center"/>
          </w:tcPr>
          <w:p>
            <w:pPr>
              <w:spacing w:after="20"/>
            </w:pPr>
            <w:r>
              <w:rPr>
                <w:sz w:val="16"/>
              </w:rPr>
              <w:t>POST /api/activities/:id/claim</w:t>
            </w:r>
          </w:p>
        </w:tc>
        <w:tc>
          <w:tcPr>
            <w:tcW w:type="dxa" w:w="4925"/>
            <w:vAlign w:val="center"/>
          </w:tcPr>
          <w:p>
            <w:pPr>
              <w:spacing w:after="20"/>
            </w:pPr>
            <w:r>
              <w:rPr>
                <w:sz w:val="16"/>
              </w:rPr>
              <w:t>Award XP or submit a claim for marking; validates daily/one-time/cap rules</w:t>
            </w:r>
          </w:p>
        </w:tc>
      </w:tr>
      <w:tr>
        <w:tc>
          <w:tcPr>
            <w:tcW w:type="dxa" w:w="4925"/>
            <w:vAlign w:val="center"/>
            <w:shd w:fill="EFF5FA"/>
          </w:tcPr>
          <w:p>
            <w:pPr>
              <w:spacing w:after="20"/>
            </w:pPr>
            <w:r>
              <w:rPr>
                <w:sz w:val="16"/>
              </w:rPr>
              <w:t>GET /api/ledger; /api/audit</w:t>
            </w:r>
          </w:p>
        </w:tc>
        <w:tc>
          <w:tcPr>
            <w:tcW w:type="dxa" w:w="4925"/>
            <w:vAlign w:val="center"/>
            <w:shd w:fill="EFF5FA"/>
          </w:tcPr>
          <w:p>
            <w:pPr>
              <w:spacing w:after="20"/>
            </w:pPr>
            <w:r>
              <w:rPr>
                <w:sz w:val="16"/>
              </w:rPr>
              <w:t>Read private XP history and a student’s own audit entries</w:t>
            </w:r>
          </w:p>
        </w:tc>
      </w:tr>
      <w:tr>
        <w:tc>
          <w:tcPr>
            <w:tcW w:type="dxa" w:w="4925"/>
            <w:vAlign w:val="center"/>
          </w:tcPr>
          <w:p>
            <w:pPr>
              <w:spacing w:after="20"/>
            </w:pPr>
            <w:r>
              <w:rPr>
                <w:sz w:val="16"/>
              </w:rPr>
              <w:t>GET /api/courses</w:t>
            </w:r>
          </w:p>
        </w:tc>
        <w:tc>
          <w:tcPr>
            <w:tcW w:type="dxa" w:w="4925"/>
            <w:vAlign w:val="center"/>
          </w:tcPr>
          <w:p>
            <w:pPr>
              <w:spacing w:after="20"/>
            </w:pPr>
            <w:r>
              <w:rPr>
                <w:sz w:val="16"/>
              </w:rPr>
              <w:t>Read module counts from backend course-progress table</w:t>
            </w:r>
          </w:p>
        </w:tc>
      </w:tr>
      <w:tr>
        <w:tc>
          <w:tcPr>
            <w:tcW w:type="dxa" w:w="4925"/>
            <w:vAlign w:val="center"/>
            <w:shd w:fill="EFF5FA"/>
          </w:tcPr>
          <w:p>
            <w:pPr>
              <w:spacing w:after="20"/>
            </w:pPr>
            <w:r>
              <w:rPr>
                <w:sz w:val="16"/>
              </w:rPr>
              <w:t>POST /api/activities/learn_module/claim</w:t>
            </w:r>
          </w:p>
        </w:tc>
        <w:tc>
          <w:tcPr>
            <w:tcW w:type="dxa" w:w="4925"/>
            <w:vAlign w:val="center"/>
            <w:shd w:fill="EFF5FA"/>
          </w:tcPr>
          <w:p>
            <w:pPr>
              <w:spacing w:after="20"/>
            </w:pPr>
            <w:r>
              <w:rPr>
                <w:sz w:val="16"/>
              </w:rPr>
              <w:t>Claim XP and update course progress in the same DB transaction (with courseId)</w:t>
            </w:r>
          </w:p>
        </w:tc>
      </w:tr>
      <w:tr>
        <w:tc>
          <w:tcPr>
            <w:tcW w:type="dxa" w:w="4925"/>
            <w:vAlign w:val="center"/>
          </w:tcPr>
          <w:p>
            <w:pPr>
              <w:spacing w:after="20"/>
            </w:pPr>
            <w:r>
              <w:rPr>
                <w:sz w:val="16"/>
              </w:rPr>
              <w:t>GET /api/gigs; POST /api/gigs/:id/apply</w:t>
            </w:r>
          </w:p>
        </w:tc>
        <w:tc>
          <w:tcPr>
            <w:tcW w:type="dxa" w:w="4925"/>
            <w:vAlign w:val="center"/>
          </w:tcPr>
          <w:p>
            <w:pPr>
              <w:spacing w:after="20"/>
            </w:pPr>
            <w:r>
              <w:rPr>
                <w:sz w:val="16"/>
              </w:rPr>
              <w:t>Retrieve and manage gig applications; limit one active gig</w:t>
            </w:r>
          </w:p>
        </w:tc>
      </w:tr>
      <w:tr>
        <w:tc>
          <w:tcPr>
            <w:tcW w:type="dxa" w:w="4925"/>
            <w:vAlign w:val="center"/>
            <w:shd w:fill="EFF5FA"/>
          </w:tcPr>
          <w:p>
            <w:pPr>
              <w:spacing w:after="20"/>
            </w:pPr>
            <w:r>
              <w:rPr>
                <w:sz w:val="16"/>
              </w:rPr>
              <w:t>PUT /api/me/avatar; /api/diary</w:t>
            </w:r>
          </w:p>
        </w:tc>
        <w:tc>
          <w:tcPr>
            <w:tcW w:type="dxa" w:w="4925"/>
            <w:vAlign w:val="center"/>
            <w:shd w:fill="EFF5FA"/>
          </w:tcPr>
          <w:p>
            <w:pPr>
              <w:spacing w:after="20"/>
            </w:pPr>
            <w:r>
              <w:rPr>
                <w:sz w:val="16"/>
              </w:rPr>
              <w:t>Save avatar choices and manage private/shared reflections</w:t>
            </w:r>
          </w:p>
        </w:tc>
      </w:tr>
    </w:tbl>
    <w:p>
      <w:pPr>
        <w:spacing w:after="0"/>
      </w:pPr>
    </w:p>
    <w:p>
      <w:r>
        <w:t>The server’s original XP calculation code is unchanged. New read endpoints and course-progress persistence were added to expose consistent values to the browser. Browser-local appearance and supplementary demonstration copy remain non-authoritative.</w:t>
      </w:r>
    </w:p>
    <w:p>
      <w:r>
        <w:br w:type="page"/>
      </w:r>
    </w:p>
    <w:p>
      <w:pPr>
        <w:pStyle w:val="Heading1"/>
      </w:pPr>
      <w:r>
        <w:t>5. Installation and local operation</w:t>
      </w:r>
    </w:p>
    <w:p>
      <w:r>
        <w:t>Use the root ARCADE-README.md as the executable setup guide. The following is a concise operational handover.</w:t>
      </w:r>
    </w:p>
    <w:p>
      <w:pPr>
        <w:pStyle w:val="Heading2"/>
      </w:pPr>
      <w:r>
        <w:t>5.1 Backend</w:t>
      </w:r>
    </w:p>
    <w:p>
      <w:r>
        <w:t>Open Terminal A in the extracted project folder and run:</w:t>
      </w:r>
    </w:p>
    <w:p>
      <w:pPr>
        <w:pStyle w:val="ListBullet"/>
      </w:pPr>
      <w:r>
        <w:t>cd backend</w:t>
      </w:r>
    </w:p>
    <w:p>
      <w:pPr>
        <w:pStyle w:val="ListBullet"/>
      </w:pPr>
      <w:r>
        <w:t>npm ci</w:t>
      </w:r>
    </w:p>
    <w:p>
      <w:pPr>
        <w:pStyle w:val="ListBullet"/>
      </w:pPr>
      <w:r>
        <w:t>npm test</w:t>
      </w:r>
    </w:p>
    <w:p>
      <w:pPr>
        <w:pStyle w:val="ListBullet"/>
      </w:pPr>
      <w:r>
        <w:t>npm start</w:t>
      </w:r>
    </w:p>
    <w:p>
      <w:r>
        <w:t>Check http://localhost:4000/api/health and expect JSON {"ok":true}. First run seeds a local SQLite database in backend/data/alumable.db (unless DB_FILE is set). Do not include database files or .env secrets in the final source distribution.</w:t>
      </w:r>
    </w:p>
    <w:p>
      <w:pPr>
        <w:pStyle w:val="Heading2"/>
      </w:pPr>
      <w:r>
        <w:t>5.2 Frontend</w:t>
      </w:r>
    </w:p>
    <w:p>
      <w:r>
        <w:t>Open Terminal B in the extracted project root and run:</w:t>
      </w:r>
    </w:p>
    <w:p>
      <w:pPr>
        <w:pStyle w:val="ListBullet"/>
      </w:pPr>
      <w:r>
        <w:t>npm install</w:t>
      </w:r>
    </w:p>
    <w:p>
      <w:pPr>
        <w:pStyle w:val="ListBullet"/>
      </w:pPr>
      <w:r>
        <w:t>npm run build</w:t>
      </w:r>
    </w:p>
    <w:p>
      <w:pPr>
        <w:pStyle w:val="ListBullet"/>
      </w:pPr>
      <w:r>
        <w:t>npm run dev</w:t>
      </w:r>
    </w:p>
    <w:p>
      <w:r>
        <w:t>Open http://localhost:5173. The Vite development server is bound to localhost and requires port 5173, preventing the previous silent move to 5174/5175 that caused cross-origin confusion. A new frontend lockfile is generated during npm install because the dependency graph was updated for security.</w:t>
      </w:r>
    </w:p>
    <w:p>
      <w:pPr>
        <w:pStyle w:val="Heading2"/>
      </w:pPr>
      <w:r>
        <w:t>5.3 Demo access and shutdown</w:t>
      </w:r>
    </w:p>
    <w:tbl>
      <w:tblPr>
        <w:tblStyle w:val="TableGrid"/>
        <w:tblW w:type="auto" w:w="0"/>
        <w:tblLayout w:type="autofit"/>
        <w:tblLook w:firstColumn="1" w:firstRow="1" w:lastColumn="0" w:lastRow="0" w:noHBand="0" w:noVBand="1" w:val="04A0"/>
      </w:tblPr>
      <w:tblGrid>
        <w:gridCol w:w="4925"/>
        <w:gridCol w:w="4925"/>
      </w:tblGrid>
      <w:tr>
        <w:tc>
          <w:tcPr>
            <w:tcW w:type="dxa" w:w="4925"/>
            <w:shd w:fill="163E61"/>
          </w:tcPr>
          <w:p>
            <w:r>
              <w:rPr>
                <w:b/>
                <w:color w:val="FFFFFF"/>
                <w:sz w:val="16"/>
              </w:rPr>
              <w:t>Role</w:t>
            </w:r>
          </w:p>
        </w:tc>
        <w:tc>
          <w:tcPr>
            <w:tcW w:type="dxa" w:w="4925"/>
            <w:shd w:fill="163E61"/>
          </w:tcPr>
          <w:p>
            <w:r>
              <w:rPr>
                <w:b/>
                <w:color w:val="FFFFFF"/>
                <w:sz w:val="16"/>
              </w:rPr>
              <w:t>Local demo account</w:t>
            </w:r>
          </w:p>
        </w:tc>
      </w:tr>
      <w:tr>
        <w:tc>
          <w:tcPr>
            <w:tcW w:type="dxa" w:w="4925"/>
            <w:vAlign w:val="center"/>
            <w:shd w:fill="EFF5FA"/>
          </w:tcPr>
          <w:p>
            <w:pPr>
              <w:spacing w:after="20"/>
            </w:pPr>
            <w:r>
              <w:rPr>
                <w:sz w:val="16"/>
              </w:rPr>
              <w:t>Student</w:t>
            </w:r>
          </w:p>
        </w:tc>
        <w:tc>
          <w:tcPr>
            <w:tcW w:type="dxa" w:w="4925"/>
            <w:vAlign w:val="center"/>
            <w:shd w:fill="EFF5FA"/>
          </w:tcPr>
          <w:p>
            <w:pPr>
              <w:spacing w:after="20"/>
            </w:pPr>
            <w:r>
              <w:rPr>
                <w:sz w:val="16"/>
              </w:rPr>
              <w:t>priya@example.com / student-demo-1</w:t>
            </w:r>
          </w:p>
        </w:tc>
      </w:tr>
      <w:tr>
        <w:tc>
          <w:tcPr>
            <w:tcW w:type="dxa" w:w="4925"/>
            <w:vAlign w:val="center"/>
          </w:tcPr>
          <w:p>
            <w:pPr>
              <w:spacing w:after="20"/>
            </w:pPr>
            <w:r>
              <w:rPr>
                <w:sz w:val="16"/>
              </w:rPr>
              <w:t>Educator</w:t>
            </w:r>
          </w:p>
        </w:tc>
        <w:tc>
          <w:tcPr>
            <w:tcW w:type="dxa" w:w="4925"/>
            <w:vAlign w:val="center"/>
          </w:tcPr>
          <w:p>
            <w:pPr>
              <w:spacing w:after="20"/>
            </w:pPr>
            <w:r>
              <w:rPr>
                <w:sz w:val="16"/>
              </w:rPr>
              <w:t>educator@example.com / educator-demo-1</w:t>
            </w:r>
          </w:p>
        </w:tc>
      </w:tr>
      <w:tr>
        <w:tc>
          <w:tcPr>
            <w:tcW w:type="dxa" w:w="4925"/>
            <w:vAlign w:val="center"/>
            <w:shd w:fill="EFF5FA"/>
          </w:tcPr>
          <w:p>
            <w:pPr>
              <w:spacing w:after="20"/>
            </w:pPr>
            <w:r>
              <w:rPr>
                <w:sz w:val="16"/>
              </w:rPr>
              <w:t>Employer</w:t>
            </w:r>
          </w:p>
        </w:tc>
        <w:tc>
          <w:tcPr>
            <w:tcW w:type="dxa" w:w="4925"/>
            <w:vAlign w:val="center"/>
            <w:shd w:fill="EFF5FA"/>
          </w:tcPr>
          <w:p>
            <w:pPr>
              <w:spacing w:after="20"/>
            </w:pPr>
            <w:r>
              <w:rPr>
                <w:sz w:val="16"/>
              </w:rPr>
              <w:t>employer@example.com / employer-demo-1</w:t>
            </w:r>
          </w:p>
        </w:tc>
      </w:tr>
    </w:tbl>
    <w:p>
      <w:pPr>
        <w:spacing w:after="0"/>
      </w:pPr>
    </w:p>
    <w:p>
      <w:r>
        <w:t>Shut down each server using Control+C in its Terminal. Before restarting, check which processes hold 4000 or 5173 with lsof. Never terminate a PID without confirming the program and port first.</w:t>
      </w:r>
    </w:p>
    <w:p>
      <w:pPr>
        <w:pStyle w:val="Heading2"/>
      </w:pPr>
      <w:r>
        <w:t>5.4 Configuration and security</w:t>
      </w:r>
    </w:p>
    <w:p>
      <w:pPr>
        <w:pStyle w:val="ListBullet"/>
      </w:pPr>
      <w:r>
        <w:t>Use backend/.env.example and root .env.example for configuration; VITE_API_URL defaults to localhost:4000.</w:t>
      </w:r>
    </w:p>
    <w:p>
      <w:pPr>
        <w:pStyle w:val="ListBullet"/>
      </w:pPr>
      <w:r>
        <w:t>Set a non-demo JWT_SECRET and restrict CORS origins before any internet-facing deployment.</w:t>
      </w:r>
    </w:p>
    <w:p>
      <w:pPr>
        <w:pStyle w:val="ListBullet"/>
      </w:pPr>
      <w:r>
        <w:t>Do not publish accounts, demo passwords, local database, secrets, or private student information to production.</w:t>
      </w:r>
    </w:p>
    <w:p>
      <w:pPr>
        <w:pStyle w:val="ListBullet"/>
      </w:pPr>
      <w:r>
        <w:t>The original sponsor target is a platform-integrated solution using MySQL/AWS; migration/deployment requires additional engineering and sponsor access.</w:t>
      </w:r>
    </w:p>
    <w:p>
      <w:r>
        <w:br w:type="page"/>
      </w:r>
    </w:p>
    <w:p>
      <w:pPr>
        <w:pStyle w:val="Heading1"/>
      </w:pPr>
      <w:r>
        <w:t>6. User workflows and expected behaviour</w:t>
      </w:r>
    </w:p>
    <w:tbl>
      <w:tblPr>
        <w:tblStyle w:val="TableGrid"/>
        <w:tblW w:type="auto" w:w="0"/>
        <w:tblLayout w:type="autofit"/>
        <w:tblLook w:firstColumn="1" w:firstRow="1" w:lastColumn="0" w:lastRow="0" w:noHBand="0" w:noVBand="1" w:val="04A0"/>
      </w:tblPr>
      <w:tblGrid>
        <w:gridCol w:w="3283"/>
        <w:gridCol w:w="3283"/>
        <w:gridCol w:w="3283"/>
      </w:tblGrid>
      <w:tr>
        <w:tc>
          <w:tcPr>
            <w:tcW w:type="dxa" w:w="3283"/>
            <w:shd w:fill="163E61"/>
          </w:tcPr>
          <w:p>
            <w:r>
              <w:rPr>
                <w:b/>
                <w:color w:val="FFFFFF"/>
                <w:sz w:val="16"/>
              </w:rPr>
              <w:t>Role</w:t>
            </w:r>
          </w:p>
        </w:tc>
        <w:tc>
          <w:tcPr>
            <w:tcW w:type="dxa" w:w="3283"/>
            <w:shd w:fill="163E61"/>
          </w:tcPr>
          <w:p>
            <w:r>
              <w:rPr>
                <w:b/>
                <w:color w:val="FFFFFF"/>
                <w:sz w:val="16"/>
              </w:rPr>
              <w:t>Workflow</w:t>
            </w:r>
          </w:p>
        </w:tc>
        <w:tc>
          <w:tcPr>
            <w:tcW w:type="dxa" w:w="3283"/>
            <w:shd w:fill="163E61"/>
          </w:tcPr>
          <w:p>
            <w:r>
              <w:rPr>
                <w:b/>
                <w:color w:val="FFFFFF"/>
                <w:sz w:val="16"/>
              </w:rPr>
              <w:t>Backend rule or limitation</w:t>
            </w:r>
          </w:p>
        </w:tc>
      </w:tr>
      <w:tr>
        <w:tc>
          <w:tcPr>
            <w:tcW w:type="dxa" w:w="3283"/>
            <w:vAlign w:val="center"/>
            <w:shd w:fill="EFF5FA"/>
          </w:tcPr>
          <w:p>
            <w:pPr>
              <w:spacing w:after="20"/>
            </w:pPr>
            <w:r>
              <w:rPr>
                <w:sz w:val="16"/>
              </w:rPr>
              <w:t>Student</w:t>
            </w:r>
          </w:p>
        </w:tc>
        <w:tc>
          <w:tcPr>
            <w:tcW w:type="dxa" w:w="3283"/>
            <w:vAlign w:val="center"/>
            <w:shd w:fill="EFF5FA"/>
          </w:tcPr>
          <w:p>
            <w:pPr>
              <w:spacing w:after="20"/>
            </w:pPr>
            <w:r>
              <w:rPr>
                <w:sz w:val="16"/>
              </w:rPr>
              <w:t>Log in → Home → Earn → claim available activity</w:t>
            </w:r>
          </w:p>
        </w:tc>
        <w:tc>
          <w:tcPr>
            <w:tcW w:type="dxa" w:w="3283"/>
            <w:vAlign w:val="center"/>
            <w:shd w:fill="EFF5FA"/>
          </w:tcPr>
          <w:p>
            <w:pPr>
              <w:spacing w:after="20"/>
            </w:pPr>
            <w:r>
              <w:rPr>
                <w:sz w:val="16"/>
              </w:rPr>
              <w:t>Ledger records approved XP; server decides eligibility and amount</w:t>
            </w:r>
          </w:p>
        </w:tc>
      </w:tr>
      <w:tr>
        <w:tc>
          <w:tcPr>
            <w:tcW w:type="dxa" w:w="3283"/>
            <w:vAlign w:val="center"/>
          </w:tcPr>
          <w:p>
            <w:pPr>
              <w:spacing w:after="20"/>
            </w:pPr>
            <w:r>
              <w:rPr>
                <w:sz w:val="16"/>
              </w:rPr>
              <w:t>Student</w:t>
            </w:r>
          </w:p>
        </w:tc>
        <w:tc>
          <w:tcPr>
            <w:tcW w:type="dxa" w:w="3283"/>
            <w:vAlign w:val="center"/>
          </w:tcPr>
          <w:p>
            <w:pPr>
              <w:spacing w:after="20"/>
            </w:pPr>
            <w:r>
              <w:rPr>
                <w:sz w:val="16"/>
              </w:rPr>
              <w:t>Finish Learn module</w:t>
            </w:r>
          </w:p>
        </w:tc>
        <w:tc>
          <w:tcPr>
            <w:tcW w:type="dxa" w:w="3283"/>
            <w:vAlign w:val="center"/>
          </w:tcPr>
          <w:p>
            <w:pPr>
              <w:spacing w:after="20"/>
            </w:pPr>
            <w:r>
              <w:rPr>
                <w:sz w:val="16"/>
              </w:rPr>
              <w:t>Module count and approved XP are updated together under a DB transaction</w:t>
            </w:r>
          </w:p>
        </w:tc>
      </w:tr>
      <w:tr>
        <w:tc>
          <w:tcPr>
            <w:tcW w:type="dxa" w:w="3283"/>
            <w:vAlign w:val="center"/>
            <w:shd w:fill="EFF5FA"/>
          </w:tcPr>
          <w:p>
            <w:pPr>
              <w:spacing w:after="20"/>
            </w:pPr>
            <w:r>
              <w:rPr>
                <w:sz w:val="16"/>
              </w:rPr>
              <w:t>Student</w:t>
            </w:r>
          </w:p>
        </w:tc>
        <w:tc>
          <w:tcPr>
            <w:tcW w:type="dxa" w:w="3283"/>
            <w:vAlign w:val="center"/>
            <w:shd w:fill="EFF5FA"/>
          </w:tcPr>
          <w:p>
            <w:pPr>
              <w:spacing w:after="20"/>
            </w:pPr>
            <w:r>
              <w:rPr>
                <w:sz w:val="16"/>
              </w:rPr>
              <w:t>View levels / capabilities</w:t>
            </w:r>
          </w:p>
        </w:tc>
        <w:tc>
          <w:tcPr>
            <w:tcW w:type="dxa" w:w="3283"/>
            <w:vAlign w:val="center"/>
            <w:shd w:fill="EFF5FA"/>
          </w:tcPr>
          <w:p>
            <w:pPr>
              <w:spacing w:after="20"/>
            </w:pPr>
            <w:r>
              <w:rPr>
                <w:sz w:val="16"/>
              </w:rPr>
              <w:t>Read level 1–5 thresholds and unlocks from server XP</w:t>
            </w:r>
          </w:p>
        </w:tc>
      </w:tr>
      <w:tr>
        <w:tc>
          <w:tcPr>
            <w:tcW w:type="dxa" w:w="3283"/>
            <w:vAlign w:val="center"/>
          </w:tcPr>
          <w:p>
            <w:pPr>
              <w:spacing w:after="20"/>
            </w:pPr>
            <w:r>
              <w:rPr>
                <w:sz w:val="16"/>
              </w:rPr>
              <w:t>Student</w:t>
            </w:r>
          </w:p>
        </w:tc>
        <w:tc>
          <w:tcPr>
            <w:tcW w:type="dxa" w:w="3283"/>
            <w:vAlign w:val="center"/>
          </w:tcPr>
          <w:p>
            <w:pPr>
              <w:spacing w:after="20"/>
            </w:pPr>
            <w:r>
              <w:rPr>
                <w:sz w:val="16"/>
              </w:rPr>
              <w:t>Apply for gig</w:t>
            </w:r>
          </w:p>
        </w:tc>
        <w:tc>
          <w:tcPr>
            <w:tcW w:type="dxa" w:w="3283"/>
            <w:vAlign w:val="center"/>
          </w:tcPr>
          <w:p>
            <w:pPr>
              <w:spacing w:after="20"/>
            </w:pPr>
            <w:r>
              <w:rPr>
                <w:sz w:val="16"/>
              </w:rPr>
              <w:t>Level requirements and one-active-gig rule enforced by API</w:t>
            </w:r>
          </w:p>
        </w:tc>
      </w:tr>
      <w:tr>
        <w:tc>
          <w:tcPr>
            <w:tcW w:type="dxa" w:w="3283"/>
            <w:vAlign w:val="center"/>
            <w:shd w:fill="EFF5FA"/>
          </w:tcPr>
          <w:p>
            <w:pPr>
              <w:spacing w:after="20"/>
            </w:pPr>
            <w:r>
              <w:rPr>
                <w:sz w:val="16"/>
              </w:rPr>
              <w:t>Student</w:t>
            </w:r>
          </w:p>
        </w:tc>
        <w:tc>
          <w:tcPr>
            <w:tcW w:type="dxa" w:w="3283"/>
            <w:vAlign w:val="center"/>
            <w:shd w:fill="EFF5FA"/>
          </w:tcPr>
          <w:p>
            <w:pPr>
              <w:spacing w:after="20"/>
            </w:pPr>
            <w:r>
              <w:rPr>
                <w:sz w:val="16"/>
              </w:rPr>
              <w:t>Write/refine diary; customise avatar</w:t>
            </w:r>
          </w:p>
        </w:tc>
        <w:tc>
          <w:tcPr>
            <w:tcW w:type="dxa" w:w="3283"/>
            <w:vAlign w:val="center"/>
            <w:shd w:fill="EFF5FA"/>
          </w:tcPr>
          <w:p>
            <w:pPr>
              <w:spacing w:after="20"/>
            </w:pPr>
            <w:r>
              <w:rPr>
                <w:sz w:val="16"/>
              </w:rPr>
              <w:t>Diary private by default; avatar configuration stored per account</w:t>
            </w:r>
          </w:p>
        </w:tc>
      </w:tr>
      <w:tr>
        <w:tc>
          <w:tcPr>
            <w:tcW w:type="dxa" w:w="3283"/>
            <w:vAlign w:val="center"/>
          </w:tcPr>
          <w:p>
            <w:pPr>
              <w:spacing w:after="20"/>
            </w:pPr>
            <w:r>
              <w:rPr>
                <w:sz w:val="16"/>
              </w:rPr>
              <w:t>Educator</w:t>
            </w:r>
          </w:p>
        </w:tc>
        <w:tc>
          <w:tcPr>
            <w:tcW w:type="dxa" w:w="3283"/>
            <w:vAlign w:val="center"/>
          </w:tcPr>
          <w:p>
            <w:pPr>
              <w:spacing w:after="20"/>
            </w:pPr>
            <w:r>
              <w:rPr>
                <w:sz w:val="16"/>
              </w:rPr>
              <w:t>Create/assign activities; mark submitted work</w:t>
            </w:r>
          </w:p>
        </w:tc>
        <w:tc>
          <w:tcPr>
            <w:tcW w:type="dxa" w:w="3283"/>
            <w:vAlign w:val="center"/>
          </w:tcPr>
          <w:p>
            <w:pPr>
              <w:spacing w:after="20"/>
            </w:pPr>
            <w:r>
              <w:rPr>
                <w:sz w:val="16"/>
              </w:rPr>
              <w:t>JWT role check, marking rubric; rubric remains placeholder</w:t>
            </w:r>
          </w:p>
        </w:tc>
      </w:tr>
      <w:tr>
        <w:tc>
          <w:tcPr>
            <w:tcW w:type="dxa" w:w="3283"/>
            <w:vAlign w:val="center"/>
            <w:shd w:fill="EFF5FA"/>
          </w:tcPr>
          <w:p>
            <w:pPr>
              <w:spacing w:after="20"/>
            </w:pPr>
            <w:r>
              <w:rPr>
                <w:sz w:val="16"/>
              </w:rPr>
              <w:t>Employer</w:t>
            </w:r>
          </w:p>
        </w:tc>
        <w:tc>
          <w:tcPr>
            <w:tcW w:type="dxa" w:w="3283"/>
            <w:vAlign w:val="center"/>
            <w:shd w:fill="EFF5FA"/>
          </w:tcPr>
          <w:p>
            <w:pPr>
              <w:spacing w:after="20"/>
            </w:pPr>
            <w:r>
              <w:rPr>
                <w:sz w:val="16"/>
              </w:rPr>
              <w:t>Post gigs and assign work</w:t>
            </w:r>
          </w:p>
        </w:tc>
        <w:tc>
          <w:tcPr>
            <w:tcW w:type="dxa" w:w="3283"/>
            <w:vAlign w:val="center"/>
            <w:shd w:fill="EFF5FA"/>
          </w:tcPr>
          <w:p>
            <w:pPr>
              <w:spacing w:after="20"/>
            </w:pPr>
            <w:r>
              <w:rPr>
                <w:sz w:val="16"/>
              </w:rPr>
              <w:t>Employer access cannot mark educator-owned assessment</w:t>
            </w:r>
          </w:p>
        </w:tc>
      </w:tr>
    </w:tbl>
    <w:p>
      <w:pPr>
        <w:spacing w:after="0"/>
      </w:pPr>
    </w:p>
    <w:p>
      <w:pPr>
        <w:pStyle w:val="Heading1"/>
      </w:pPr>
      <w:r>
        <w:t>7. Security and dependency treatment</w:t>
      </w:r>
    </w:p>
    <w:p>
      <w:r>
        <w:t>The previous frontend npm installation reported one high-severity vulnerability, but the captured installation output did not name the affected package. The new release requests patched Vite and React Router dependency lines and removes the older compatibility package. Frontend package installation, a clean npm audit, and full browser regression testing still require verification on the team’s Mac.</w:t>
      </w:r>
    </w:p>
    <w:tbl>
      <w:tblPr>
        <w:tblStyle w:val="TableGrid"/>
        <w:tblW w:type="auto" w:w="0"/>
        <w:tblLayout w:type="autofit"/>
        <w:tblLook w:firstColumn="1" w:firstRow="1" w:lastColumn="0" w:lastRow="0" w:noHBand="0" w:noVBand="1" w:val="04A0"/>
      </w:tblPr>
      <w:tblGrid>
        <w:gridCol w:w="4925"/>
        <w:gridCol w:w="4925"/>
      </w:tblGrid>
      <w:tr>
        <w:tc>
          <w:tcPr>
            <w:tcW w:type="dxa" w:w="4925"/>
            <w:shd w:fill="163E61"/>
          </w:tcPr>
          <w:p>
            <w:r>
              <w:rPr>
                <w:b/>
                <w:color w:val="FFFFFF"/>
                <w:sz w:val="16"/>
              </w:rPr>
              <w:t>Security item</w:t>
            </w:r>
          </w:p>
        </w:tc>
        <w:tc>
          <w:tcPr>
            <w:tcW w:type="dxa" w:w="4925"/>
            <w:shd w:fill="163E61"/>
          </w:tcPr>
          <w:p>
            <w:r>
              <w:rPr>
                <w:b/>
                <w:color w:val="FFFFFF"/>
                <w:sz w:val="16"/>
              </w:rPr>
              <w:t>Evidence or handover action</w:t>
            </w:r>
          </w:p>
        </w:tc>
      </w:tr>
      <w:tr>
        <w:tc>
          <w:tcPr>
            <w:tcW w:type="dxa" w:w="4925"/>
            <w:vAlign w:val="center"/>
            <w:shd w:fill="EFF5FA"/>
          </w:tcPr>
          <w:p>
            <w:pPr>
              <w:spacing w:after="20"/>
            </w:pPr>
            <w:r>
              <w:rPr>
                <w:sz w:val="16"/>
              </w:rPr>
              <w:t>Server role protection</w:t>
            </w:r>
          </w:p>
        </w:tc>
        <w:tc>
          <w:tcPr>
            <w:tcW w:type="dxa" w:w="4925"/>
            <w:vAlign w:val="center"/>
            <w:shd w:fill="EFF5FA"/>
          </w:tcPr>
          <w:p>
            <w:pPr>
              <w:spacing w:after="20"/>
            </w:pPr>
            <w:r>
              <w:rPr>
                <w:sz w:val="16"/>
              </w:rPr>
              <w:t>Backend suite previously exercised JWT and role restrictions</w:t>
            </w:r>
          </w:p>
        </w:tc>
      </w:tr>
      <w:tr>
        <w:tc>
          <w:tcPr>
            <w:tcW w:type="dxa" w:w="4925"/>
            <w:vAlign w:val="center"/>
          </w:tcPr>
          <w:p>
            <w:pPr>
              <w:spacing w:after="20"/>
            </w:pPr>
            <w:r>
              <w:rPr>
                <w:sz w:val="16"/>
              </w:rPr>
              <w:t>Abuse prevention</w:t>
            </w:r>
          </w:p>
        </w:tc>
        <w:tc>
          <w:tcPr>
            <w:tcW w:type="dxa" w:w="4925"/>
            <w:vAlign w:val="center"/>
          </w:tcPr>
          <w:p>
            <w:pPr>
              <w:spacing w:after="20"/>
            </w:pPr>
            <w:r>
              <w:rPr>
                <w:sz w:val="16"/>
              </w:rPr>
              <w:t>Backend tested daily caps, duplicate claims, cooldowns, marking, rate limits</w:t>
            </w:r>
          </w:p>
        </w:tc>
      </w:tr>
      <w:tr>
        <w:tc>
          <w:tcPr>
            <w:tcW w:type="dxa" w:w="4925"/>
            <w:vAlign w:val="center"/>
            <w:shd w:fill="EFF5FA"/>
          </w:tcPr>
          <w:p>
            <w:pPr>
              <w:spacing w:after="20"/>
            </w:pPr>
            <w:r>
              <w:rPr>
                <w:sz w:val="16"/>
              </w:rPr>
              <w:t>Dependency security</w:t>
            </w:r>
          </w:p>
        </w:tc>
        <w:tc>
          <w:tcPr>
            <w:tcW w:type="dxa" w:w="4925"/>
            <w:vAlign w:val="center"/>
            <w:shd w:fill="EFF5FA"/>
          </w:tcPr>
          <w:p>
            <w:pPr>
              <w:spacing w:after="20"/>
            </w:pPr>
            <w:r>
              <w:rPr>
                <w:sz w:val="16"/>
              </w:rPr>
              <w:t>Run npm audit --audit-level=high after updated npm install; retain actual advisory results</w:t>
            </w:r>
          </w:p>
        </w:tc>
      </w:tr>
      <w:tr>
        <w:tc>
          <w:tcPr>
            <w:tcW w:type="dxa" w:w="4925"/>
            <w:vAlign w:val="center"/>
          </w:tcPr>
          <w:p>
            <w:pPr>
              <w:spacing w:after="20"/>
            </w:pPr>
            <w:r>
              <w:rPr>
                <w:sz w:val="16"/>
              </w:rPr>
              <w:t>Browser storage</w:t>
            </w:r>
          </w:p>
        </w:tc>
        <w:tc>
          <w:tcPr>
            <w:tcW w:type="dxa" w:w="4925"/>
            <w:vAlign w:val="center"/>
          </w:tcPr>
          <w:p>
            <w:pPr>
              <w:spacing w:after="20"/>
            </w:pPr>
            <w:r>
              <w:rPr>
                <w:sz w:val="16"/>
              </w:rPr>
              <w:t>XP removed from localStorage authority; night/light preference remains local intentionally</w:t>
            </w:r>
          </w:p>
        </w:tc>
      </w:tr>
      <w:tr>
        <w:tc>
          <w:tcPr>
            <w:tcW w:type="dxa" w:w="4925"/>
            <w:vAlign w:val="center"/>
            <w:shd w:fill="EFF5FA"/>
          </w:tcPr>
          <w:p>
            <w:pPr>
              <w:spacing w:after="20"/>
            </w:pPr>
            <w:r>
              <w:rPr>
                <w:sz w:val="16"/>
              </w:rPr>
              <w:t>Transport / production hardening</w:t>
            </w:r>
          </w:p>
        </w:tc>
        <w:tc>
          <w:tcPr>
            <w:tcW w:type="dxa" w:w="4925"/>
            <w:vAlign w:val="center"/>
            <w:shd w:fill="EFF5FA"/>
          </w:tcPr>
          <w:p>
            <w:pPr>
              <w:spacing w:after="20"/>
            </w:pPr>
            <w:r>
              <w:rPr>
                <w:sz w:val="16"/>
              </w:rPr>
              <w:t>HTTPS, database migration, secrets, backup, observability and production auth require further work</w:t>
            </w:r>
          </w:p>
        </w:tc>
      </w:tr>
    </w:tbl>
    <w:p>
      <w:pPr>
        <w:spacing w:after="0"/>
      </w:pPr>
    </w:p>
    <w:p>
      <w:pPr>
        <w:pStyle w:val="Heading1"/>
      </w:pPr>
      <w:r>
        <w:t>8. Testing evidence and release boundary</w:t>
      </w:r>
    </w:p>
    <w:tbl>
      <w:tblPr>
        <w:tblStyle w:val="TableGrid"/>
        <w:tblW w:type="auto" w:w="0"/>
        <w:tblLayout w:type="autofit"/>
        <w:tblLook w:firstColumn="1" w:firstRow="1" w:lastColumn="0" w:lastRow="0" w:noHBand="0" w:noVBand="1" w:val="04A0"/>
      </w:tblPr>
      <w:tblGrid>
        <w:gridCol w:w="4925"/>
        <w:gridCol w:w="4925"/>
      </w:tblGrid>
      <w:tr>
        <w:tc>
          <w:tcPr>
            <w:tcW w:type="dxa" w:w="4925"/>
            <w:shd w:fill="163E61"/>
          </w:tcPr>
          <w:p>
            <w:r>
              <w:rPr>
                <w:b/>
                <w:color w:val="FFFFFF"/>
                <w:sz w:val="16"/>
              </w:rPr>
              <w:t>Test evidence</w:t>
            </w:r>
          </w:p>
        </w:tc>
        <w:tc>
          <w:tcPr>
            <w:tcW w:type="dxa" w:w="4925"/>
            <w:shd w:fill="163E61"/>
          </w:tcPr>
          <w:p>
            <w:r>
              <w:rPr>
                <w:b/>
                <w:color w:val="FFFFFF"/>
                <w:sz w:val="16"/>
              </w:rPr>
              <w:t>Observed result / scope</w:t>
            </w:r>
          </w:p>
        </w:tc>
      </w:tr>
      <w:tr>
        <w:tc>
          <w:tcPr>
            <w:tcW w:type="dxa" w:w="4925"/>
            <w:vAlign w:val="center"/>
            <w:shd w:fill="EFF5FA"/>
          </w:tcPr>
          <w:p>
            <w:pPr>
              <w:spacing w:after="20"/>
            </w:pPr>
            <w:r>
              <w:rPr>
                <w:sz w:val="16"/>
              </w:rPr>
              <w:t>Backend npm test (prior release)</w:t>
            </w:r>
          </w:p>
        </w:tc>
        <w:tc>
          <w:tcPr>
            <w:tcW w:type="dxa" w:w="4925"/>
            <w:vAlign w:val="center"/>
            <w:shd w:fill="EFF5FA"/>
          </w:tcPr>
          <w:p>
            <w:pPr>
              <w:spacing w:after="20"/>
            </w:pPr>
            <w:r>
              <w:rPr>
                <w:sz w:val="16"/>
              </w:rPr>
              <w:t>39 passed, 0 failed, 0 skipped — supplied terminal capture on 14 Oct 2026</w:t>
            </w:r>
          </w:p>
        </w:tc>
      </w:tr>
      <w:tr>
        <w:tc>
          <w:tcPr>
            <w:tcW w:type="dxa" w:w="4925"/>
            <w:vAlign w:val="center"/>
          </w:tcPr>
          <w:p>
            <w:pPr>
              <w:spacing w:after="20"/>
            </w:pPr>
            <w:r>
              <w:rPr>
                <w:sz w:val="16"/>
              </w:rPr>
              <w:t>Health check (prior release)</w:t>
            </w:r>
          </w:p>
        </w:tc>
        <w:tc>
          <w:tcPr>
            <w:tcW w:type="dxa" w:w="4925"/>
            <w:vAlign w:val="center"/>
          </w:tcPr>
          <w:p>
            <w:pPr>
              <w:spacing w:after="20"/>
            </w:pPr>
            <w:r>
              <w:rPr>
                <w:sz w:val="16"/>
              </w:rPr>
              <w:t>GET /api/health returned {"ok":true} — supplied browser capture</w:t>
            </w:r>
          </w:p>
        </w:tc>
      </w:tr>
      <w:tr>
        <w:tc>
          <w:tcPr>
            <w:tcW w:type="dxa" w:w="4925"/>
            <w:vAlign w:val="center"/>
            <w:shd w:fill="EFF5FA"/>
          </w:tcPr>
          <w:p>
            <w:pPr>
              <w:spacing w:after="20"/>
            </w:pPr>
            <w:r>
              <w:rPr>
                <w:sz w:val="16"/>
              </w:rPr>
              <w:t>Student login / light mode (prior release)</w:t>
            </w:r>
          </w:p>
        </w:tc>
        <w:tc>
          <w:tcPr>
            <w:tcW w:type="dxa" w:w="4925"/>
            <w:vAlign w:val="center"/>
            <w:shd w:fill="EFF5FA"/>
          </w:tcPr>
          <w:p>
            <w:pPr>
              <w:spacing w:after="20"/>
            </w:pPr>
            <w:r>
              <w:rPr>
                <w:sz w:val="16"/>
              </w:rPr>
              <w:t>User confirmed login, role screen, interface and theme persistence</w:t>
            </w:r>
          </w:p>
        </w:tc>
      </w:tr>
      <w:tr>
        <w:tc>
          <w:tcPr>
            <w:tcW w:type="dxa" w:w="4925"/>
            <w:vAlign w:val="center"/>
          </w:tcPr>
          <w:p>
            <w:pPr>
              <w:spacing w:after="20"/>
            </w:pPr>
            <w:r>
              <w:rPr>
                <w:sz w:val="16"/>
              </w:rPr>
              <w:t>Local browser XP claim (prior release)</w:t>
            </w:r>
          </w:p>
        </w:tc>
        <w:tc>
          <w:tcPr>
            <w:tcW w:type="dxa" w:w="4925"/>
            <w:vAlign w:val="center"/>
          </w:tcPr>
          <w:p>
            <w:pPr>
              <w:spacing w:after="20"/>
            </w:pPr>
            <w:r>
              <w:rPr>
                <w:sz w:val="16"/>
              </w:rPr>
              <w:t>1,665 → 1,690 XP, daily 415 → 440; persisted on refresh, NOT across Incognito</w:t>
            </w:r>
          </w:p>
        </w:tc>
      </w:tr>
      <w:tr>
        <w:tc>
          <w:tcPr>
            <w:tcW w:type="dxa" w:w="4925"/>
            <w:vAlign w:val="center"/>
            <w:shd w:fill="EFF5FA"/>
          </w:tcPr>
          <w:p>
            <w:pPr>
              <w:spacing w:after="20"/>
            </w:pPr>
            <w:r>
              <w:rPr>
                <w:sz w:val="16"/>
              </w:rPr>
              <w:t>Updated backend tests</w:t>
            </w:r>
          </w:p>
        </w:tc>
        <w:tc>
          <w:tcPr>
            <w:tcW w:type="dxa" w:w="4925"/>
            <w:vAlign w:val="center"/>
            <w:shd w:fill="EFF5FA"/>
          </w:tcPr>
          <w:p>
            <w:pPr>
              <w:spacing w:after="20"/>
            </w:pPr>
            <w:r>
              <w:rPr>
                <w:sz w:val="16"/>
              </w:rPr>
              <w:t>10 XP-rule unit tests passed locally; full API suite with new regression tests needs npm install and rerun</w:t>
            </w:r>
          </w:p>
        </w:tc>
      </w:tr>
      <w:tr>
        <w:tc>
          <w:tcPr>
            <w:tcW w:type="dxa" w:w="4925"/>
            <w:vAlign w:val="center"/>
          </w:tcPr>
          <w:p>
            <w:pPr>
              <w:spacing w:after="20"/>
            </w:pPr>
            <w:r>
              <w:rPr>
                <w:sz w:val="16"/>
              </w:rPr>
              <w:t>Updated frontend build + npm audit</w:t>
            </w:r>
          </w:p>
        </w:tc>
        <w:tc>
          <w:tcPr>
            <w:tcW w:type="dxa" w:w="4925"/>
            <w:vAlign w:val="center"/>
          </w:tcPr>
          <w:p>
            <w:pPr>
              <w:spacing w:after="20"/>
            </w:pPr>
            <w:r>
              <w:rPr>
                <w:sz w:val="16"/>
              </w:rPr>
              <w:t>Pending clean install and validation on the team’s Mac</w:t>
            </w:r>
          </w:p>
        </w:tc>
      </w:tr>
      <w:tr>
        <w:tc>
          <w:tcPr>
            <w:tcW w:type="dxa" w:w="4925"/>
            <w:vAlign w:val="center"/>
            <w:shd w:fill="EFF5FA"/>
          </w:tcPr>
          <w:p>
            <w:pPr>
              <w:spacing w:after="20"/>
            </w:pPr>
            <w:r>
              <w:rPr>
                <w:sz w:val="16"/>
              </w:rPr>
              <w:t>Updated cross-browser XP test</w:t>
            </w:r>
          </w:p>
        </w:tc>
        <w:tc>
          <w:tcPr>
            <w:tcW w:type="dxa" w:w="4925"/>
            <w:vAlign w:val="center"/>
            <w:shd w:fill="EFF5FA"/>
          </w:tcPr>
          <w:p>
            <w:pPr>
              <w:spacing w:after="20"/>
            </w:pPr>
            <w:r>
              <w:rPr>
                <w:sz w:val="16"/>
              </w:rPr>
              <w:t>Pending; acceptance procedure included in INTEGRATION-CHECKLIST.md</w:t>
            </w:r>
          </w:p>
        </w:tc>
      </w:tr>
    </w:tbl>
    <w:p>
      <w:pPr>
        <w:spacing w:after="0"/>
      </w:pPr>
    </w:p>
    <w:p>
      <w:pPr>
        <w:pStyle w:val="Heading1"/>
      </w:pPr>
      <w:r>
        <w:t>9. Interface visuals and test evidence</w:t>
      </w:r>
    </w:p>
    <w:p>
      <w:r>
        <w:t>The following interface visuals are from the user’s browser session on 14 October 2026. They document the approved arcade design and the issue that motivated the API integration. They precede the code changes in this release, so they do not substitute for post-upgrade acceptance testing.</w:t>
      </w:r>
    </w:p>
    <w:p>
      <w:pPr>
        <w:keepNext/>
        <w:jc w:val="center"/>
      </w:pPr>
      <w:r>
        <w:drawing>
          <wp:inline xmlns:a="http://schemas.openxmlformats.org/drawingml/2006/main" xmlns:pic="http://schemas.openxmlformats.org/drawingml/2006/picture">
            <wp:extent cx="5943600" cy="3864647"/>
            <wp:docPr id="3" name="Picture 3"/>
            <wp:cNvGraphicFramePr>
              <a:graphicFrameLocks noChangeAspect="1"/>
            </wp:cNvGraphicFramePr>
            <a:graphic>
              <a:graphicData uri="http://schemas.openxmlformats.org/drawingml/2006/picture">
                <pic:pic>
                  <pic:nvPicPr>
                    <pic:cNvPr id="0" name="Screenshot 2026-10-14 at 12.29.29 pm.png"/>
                    <pic:cNvPicPr/>
                  </pic:nvPicPr>
                  <pic:blipFill>
                    <a:blip r:embed="rId12"/>
                    <a:stretch>
                      <a:fillRect/>
                    </a:stretch>
                  </pic:blipFill>
                  <pic:spPr>
                    <a:xfrm>
                      <a:off x="0" y="0"/>
                      <a:ext cx="5943600" cy="3864647"/>
                    </a:xfrm>
                    <a:prstGeom prst="rect"/>
                  </pic:spPr>
                </pic:pic>
              </a:graphicData>
            </a:graphic>
          </wp:inline>
        </w:drawing>
      </w:r>
    </w:p>
    <w:p>
      <w:pPr>
        <w:spacing w:after="200"/>
        <w:jc w:val="center"/>
      </w:pPr>
      <w:r>
        <w:rPr>
          <w:i/>
          <w:color w:val="4B5E6F"/>
          <w:sz w:val="16"/>
        </w:rPr>
        <w:t>Interface visual 1 — Alumable student dashboard, Light mode; level 4, XP counter and navigation</w:t>
      </w:r>
    </w:p>
    <w:p>
      <w:pPr>
        <w:keepNext/>
        <w:jc w:val="center"/>
      </w:pPr>
      <w:r>
        <w:drawing>
          <wp:inline xmlns:a="http://schemas.openxmlformats.org/drawingml/2006/main" xmlns:pic="http://schemas.openxmlformats.org/drawingml/2006/picture">
            <wp:extent cx="5943600" cy="3864647"/>
            <wp:docPr id="4" name="Picture 4"/>
            <wp:cNvGraphicFramePr>
              <a:graphicFrameLocks noChangeAspect="1"/>
            </wp:cNvGraphicFramePr>
            <a:graphic>
              <a:graphicData uri="http://schemas.openxmlformats.org/drawingml/2006/picture">
                <pic:pic>
                  <pic:nvPicPr>
                    <pic:cNvPr id="0" name="Screenshot 2026-10-14 at 12.32.20 pm.png"/>
                    <pic:cNvPicPr/>
                  </pic:nvPicPr>
                  <pic:blipFill>
                    <a:blip r:embed="rId13"/>
                    <a:stretch>
                      <a:fillRect/>
                    </a:stretch>
                  </pic:blipFill>
                  <pic:spPr>
                    <a:xfrm>
                      <a:off x="0" y="0"/>
                      <a:ext cx="5943600" cy="3864647"/>
                    </a:xfrm>
                    <a:prstGeom prst="rect"/>
                  </pic:spPr>
                </pic:pic>
              </a:graphicData>
            </a:graphic>
          </wp:inline>
        </w:drawing>
      </w:r>
    </w:p>
    <w:p>
      <w:pPr>
        <w:spacing w:after="200"/>
        <w:jc w:val="center"/>
      </w:pPr>
      <w:r>
        <w:rPr>
          <w:i/>
          <w:color w:val="4B5E6F"/>
          <w:sz w:val="16"/>
        </w:rPr>
        <w:t>Interface visual 2 — Earn page showing level unlocks, activity cards and daily XP bar</w:t>
      </w:r>
    </w:p>
    <w:p>
      <w:r>
        <w:br w:type="page"/>
      </w:r>
    </w:p>
    <w:p>
      <w:pPr>
        <w:pStyle w:val="Heading1"/>
      </w:pPr>
      <w:r>
        <w:t>10. XP and backend evidence</w:t>
      </w:r>
    </w:p>
    <w:p>
      <w:pPr>
        <w:keepNext/>
        <w:jc w:val="center"/>
      </w:pPr>
      <w:r>
        <w:drawing>
          <wp:inline xmlns:a="http://schemas.openxmlformats.org/drawingml/2006/main" xmlns:pic="http://schemas.openxmlformats.org/drawingml/2006/picture">
            <wp:extent cx="5943600" cy="3864647"/>
            <wp:docPr id="5" name="Picture 5"/>
            <wp:cNvGraphicFramePr>
              <a:graphicFrameLocks noChangeAspect="1"/>
            </wp:cNvGraphicFramePr>
            <a:graphic>
              <a:graphicData uri="http://schemas.openxmlformats.org/drawingml/2006/picture">
                <pic:pic>
                  <pic:nvPicPr>
                    <pic:cNvPr id="0" name="Screenshot 2026-10-14 at 12.34.23 pm.png"/>
                    <pic:cNvPicPr/>
                  </pic:nvPicPr>
                  <pic:blipFill>
                    <a:blip r:embed="rId14"/>
                    <a:stretch>
                      <a:fillRect/>
                    </a:stretch>
                  </pic:blipFill>
                  <pic:spPr>
                    <a:xfrm>
                      <a:off x="0" y="0"/>
                      <a:ext cx="5943600" cy="3864647"/>
                    </a:xfrm>
                    <a:prstGeom prst="rect"/>
                  </pic:spPr>
                </pic:pic>
              </a:graphicData>
            </a:graphic>
          </wp:inline>
        </w:drawing>
      </w:r>
    </w:p>
    <w:p>
      <w:pPr>
        <w:spacing w:after="200"/>
        <w:jc w:val="center"/>
      </w:pPr>
      <w:r>
        <w:rPr>
          <w:i/>
          <w:color w:val="4B5E6F"/>
          <w:sz w:val="16"/>
        </w:rPr>
        <w:t>Interface visual 3 — 1,690 XP displayed after a local daily check-in; prior-release browser persistence</w:t>
      </w:r>
    </w:p>
    <w:p>
      <w:pPr>
        <w:keepNext/>
        <w:jc w:val="center"/>
      </w:pPr>
      <w:r>
        <w:drawing>
          <wp:inline xmlns:a="http://schemas.openxmlformats.org/drawingml/2006/main" xmlns:pic="http://schemas.openxmlformats.org/drawingml/2006/picture">
            <wp:extent cx="5943600" cy="1466349"/>
            <wp:docPr id="6" name="Picture 6"/>
            <wp:cNvGraphicFramePr>
              <a:graphicFrameLocks noChangeAspect="1"/>
            </wp:cNvGraphicFramePr>
            <a:graphic>
              <a:graphicData uri="http://schemas.openxmlformats.org/drawingml/2006/picture">
                <pic:pic>
                  <pic:nvPicPr>
                    <pic:cNvPr id="0" name="backend-39-tests-summary.png"/>
                    <pic:cNvPicPr/>
                  </pic:nvPicPr>
                  <pic:blipFill>
                    <a:blip r:embed="rId15"/>
                    <a:stretch>
                      <a:fillRect/>
                    </a:stretch>
                  </pic:blipFill>
                  <pic:spPr>
                    <a:xfrm>
                      <a:off x="0" y="0"/>
                      <a:ext cx="5943600" cy="1466349"/>
                    </a:xfrm>
                    <a:prstGeom prst="rect"/>
                  </pic:spPr>
                </pic:pic>
              </a:graphicData>
            </a:graphic>
          </wp:inline>
        </w:drawing>
      </w:r>
    </w:p>
    <w:p>
      <w:pPr>
        <w:spacing w:after="200"/>
        <w:jc w:val="center"/>
      </w:pPr>
      <w:r>
        <w:rPr>
          <w:i/>
          <w:color w:val="4B5E6F"/>
          <w:sz w:val="16"/>
        </w:rPr>
        <w:t>Testing evidence — terminal excerpt supplied by the team: 39 backend tests passed in the previous release</w:t>
      </w:r>
    </w:p>
    <w:p>
      <w:r>
        <w:br w:type="page"/>
      </w:r>
    </w:p>
    <w:p>
      <w:pPr>
        <w:pStyle w:val="Heading1"/>
      </w:pPr>
      <w:r>
        <w:t>Additional interface visual — Night mode</w:t>
      </w:r>
    </w:p>
    <w:p>
      <w:pPr>
        <w:keepNext/>
        <w:jc w:val="center"/>
      </w:pPr>
      <w:r>
        <w:drawing>
          <wp:inline xmlns:a="http://schemas.openxmlformats.org/drawingml/2006/main" xmlns:pic="http://schemas.openxmlformats.org/drawingml/2006/picture">
            <wp:extent cx="5943600" cy="3864647"/>
            <wp:docPr id="7" name="Picture 7"/>
            <wp:cNvGraphicFramePr>
              <a:graphicFrameLocks noChangeAspect="1"/>
            </wp:cNvGraphicFramePr>
            <a:graphic>
              <a:graphicData uri="http://schemas.openxmlformats.org/drawingml/2006/picture">
                <pic:pic>
                  <pic:nvPicPr>
                    <pic:cNvPr id="0" name="Screenshot 2026-10-14 at 12.26.29 pm.png"/>
                    <pic:cNvPicPr/>
                  </pic:nvPicPr>
                  <pic:blipFill>
                    <a:blip r:embed="rId16"/>
                    <a:stretch>
                      <a:fillRect/>
                    </a:stretch>
                  </pic:blipFill>
                  <pic:spPr>
                    <a:xfrm>
                      <a:off x="0" y="0"/>
                      <a:ext cx="5943600" cy="3864647"/>
                    </a:xfrm>
                    <a:prstGeom prst="rect"/>
                  </pic:spPr>
                </pic:pic>
              </a:graphicData>
            </a:graphic>
          </wp:inline>
        </w:drawing>
      </w:r>
    </w:p>
    <w:p>
      <w:pPr>
        <w:spacing w:after="200"/>
        <w:jc w:val="center"/>
      </w:pPr>
      <w:r>
        <w:rPr>
          <w:i/>
          <w:color w:val="4B5E6F"/>
          <w:sz w:val="16"/>
        </w:rPr>
        <w:t>Interface visual 4 — Night-mode student login before backend integration; theme retained in updated release</w:t>
      </w:r>
    </w:p>
    <w:p>
      <w:r>
        <w:t>This image documents the agreed Night mode styling and role login. Updated-release login and XP synchronisation should be demonstrated again on the team’s Mac using the checklist.</w:t>
      </w:r>
    </w:p>
    <w:p>
      <w:r>
        <w:br w:type="page"/>
      </w:r>
    </w:p>
    <w:p>
      <w:pPr>
        <w:pStyle w:val="Heading1"/>
      </w:pPr>
      <w:r>
        <w:t>11. Limitations, remaining work and priorities</w:t>
      </w:r>
    </w:p>
    <w:tbl>
      <w:tblPr>
        <w:tblStyle w:val="TableGrid"/>
        <w:tblW w:type="auto" w:w="0"/>
        <w:tblLayout w:type="autofit"/>
        <w:tblLook w:firstColumn="1" w:firstRow="1" w:lastColumn="0" w:lastRow="0" w:noHBand="0" w:noVBand="1" w:val="04A0"/>
      </w:tblPr>
      <w:tblGrid>
        <w:gridCol w:w="3283"/>
        <w:gridCol w:w="3283"/>
        <w:gridCol w:w="3283"/>
      </w:tblGrid>
      <w:tr>
        <w:tc>
          <w:tcPr>
            <w:tcW w:type="dxa" w:w="3283"/>
            <w:shd w:fill="163E61"/>
          </w:tcPr>
          <w:p>
            <w:r>
              <w:rPr>
                <w:b/>
                <w:color w:val="FFFFFF"/>
                <w:sz w:val="16"/>
              </w:rPr>
              <w:t>Priority</w:t>
            </w:r>
          </w:p>
        </w:tc>
        <w:tc>
          <w:tcPr>
            <w:tcW w:type="dxa" w:w="3283"/>
            <w:shd w:fill="163E61"/>
          </w:tcPr>
          <w:p>
            <w:r>
              <w:rPr>
                <w:b/>
                <w:color w:val="FFFFFF"/>
                <w:sz w:val="16"/>
              </w:rPr>
              <w:t>Outstanding issue</w:t>
            </w:r>
          </w:p>
        </w:tc>
        <w:tc>
          <w:tcPr>
            <w:tcW w:type="dxa" w:w="3283"/>
            <w:shd w:fill="163E61"/>
          </w:tcPr>
          <w:p>
            <w:r>
              <w:rPr>
                <w:b/>
                <w:color w:val="FFFFFF"/>
                <w:sz w:val="16"/>
              </w:rPr>
              <w:t>Acceptance requirement</w:t>
            </w:r>
          </w:p>
        </w:tc>
      </w:tr>
      <w:tr>
        <w:tc>
          <w:tcPr>
            <w:tcW w:type="dxa" w:w="3283"/>
            <w:vAlign w:val="center"/>
            <w:shd w:fill="EFF5FA"/>
          </w:tcPr>
          <w:p>
            <w:pPr>
              <w:spacing w:after="20"/>
            </w:pPr>
            <w:r>
              <w:rPr>
                <w:sz w:val="16"/>
              </w:rPr>
              <w:t>P0</w:t>
            </w:r>
          </w:p>
        </w:tc>
        <w:tc>
          <w:tcPr>
            <w:tcW w:type="dxa" w:w="3283"/>
            <w:vAlign w:val="center"/>
            <w:shd w:fill="EFF5FA"/>
          </w:tcPr>
          <w:p>
            <w:pPr>
              <w:spacing w:after="20"/>
            </w:pPr>
            <w:r>
              <w:rPr>
                <w:sz w:val="16"/>
              </w:rPr>
              <w:t>Re-run updated backend and frontend tests on Mac</w:t>
            </w:r>
          </w:p>
        </w:tc>
        <w:tc>
          <w:tcPr>
            <w:tcW w:type="dxa" w:w="3283"/>
            <w:vAlign w:val="center"/>
            <w:shd w:fill="EFF5FA"/>
          </w:tcPr>
          <w:p>
            <w:pPr>
              <w:spacing w:after="20"/>
            </w:pPr>
            <w:r>
              <w:rPr>
                <w:sz w:val="16"/>
              </w:rPr>
              <w:t>Capture new test counts and build result, resolve failures</w:t>
            </w:r>
          </w:p>
        </w:tc>
      </w:tr>
      <w:tr>
        <w:tc>
          <w:tcPr>
            <w:tcW w:type="dxa" w:w="3283"/>
            <w:vAlign w:val="center"/>
          </w:tcPr>
          <w:p>
            <w:pPr>
              <w:spacing w:after="20"/>
            </w:pPr>
            <w:r>
              <w:rPr>
                <w:sz w:val="16"/>
              </w:rPr>
              <w:t>P0</w:t>
            </w:r>
          </w:p>
        </w:tc>
        <w:tc>
          <w:tcPr>
            <w:tcW w:type="dxa" w:w="3283"/>
            <w:vAlign w:val="center"/>
          </w:tcPr>
          <w:p>
            <w:pPr>
              <w:spacing w:after="20"/>
            </w:pPr>
            <w:r>
              <w:rPr>
                <w:sz w:val="16"/>
              </w:rPr>
              <w:t>Verify XP synchronisation across two browser sessions</w:t>
            </w:r>
          </w:p>
        </w:tc>
        <w:tc>
          <w:tcPr>
            <w:tcW w:type="dxa" w:w="3283"/>
            <w:vAlign w:val="center"/>
          </w:tcPr>
          <w:p>
            <w:pPr>
              <w:spacing w:after="20"/>
            </w:pPr>
            <w:r>
              <w:rPr>
                <w:sz w:val="16"/>
              </w:rPr>
              <w:t>Same server balance after claim, refresh, logout/login and restart</w:t>
            </w:r>
          </w:p>
        </w:tc>
      </w:tr>
      <w:tr>
        <w:tc>
          <w:tcPr>
            <w:tcW w:type="dxa" w:w="3283"/>
            <w:vAlign w:val="center"/>
            <w:shd w:fill="EFF5FA"/>
          </w:tcPr>
          <w:p>
            <w:pPr>
              <w:spacing w:after="20"/>
            </w:pPr>
            <w:r>
              <w:rPr>
                <w:sz w:val="16"/>
              </w:rPr>
              <w:t>P0</w:t>
            </w:r>
          </w:p>
        </w:tc>
        <w:tc>
          <w:tcPr>
            <w:tcW w:type="dxa" w:w="3283"/>
            <w:vAlign w:val="center"/>
            <w:shd w:fill="EFF5FA"/>
          </w:tcPr>
          <w:p>
            <w:pPr>
              <w:spacing w:after="20"/>
            </w:pPr>
            <w:r>
              <w:rPr>
                <w:sz w:val="16"/>
              </w:rPr>
              <w:t>Identify and clear the npm high-severity advisory</w:t>
            </w:r>
          </w:p>
        </w:tc>
        <w:tc>
          <w:tcPr>
            <w:tcW w:type="dxa" w:w="3283"/>
            <w:vAlign w:val="center"/>
            <w:shd w:fill="EFF5FA"/>
          </w:tcPr>
          <w:p>
            <w:pPr>
              <w:spacing w:after="20"/>
            </w:pPr>
            <w:r>
              <w:rPr>
                <w:sz w:val="16"/>
              </w:rPr>
              <w:t>Capture npm audit output after updated dependency installation; resolve any remaining advisory</w:t>
            </w:r>
          </w:p>
        </w:tc>
      </w:tr>
      <w:tr>
        <w:tc>
          <w:tcPr>
            <w:tcW w:type="dxa" w:w="3283"/>
            <w:vAlign w:val="center"/>
          </w:tcPr>
          <w:p>
            <w:pPr>
              <w:spacing w:after="20"/>
            </w:pPr>
            <w:r>
              <w:rPr>
                <w:sz w:val="16"/>
              </w:rPr>
              <w:t>P1</w:t>
            </w:r>
          </w:p>
        </w:tc>
        <w:tc>
          <w:tcPr>
            <w:tcW w:type="dxa" w:w="3283"/>
            <w:vAlign w:val="center"/>
          </w:tcPr>
          <w:p>
            <w:pPr>
              <w:spacing w:after="20"/>
            </w:pPr>
            <w:r>
              <w:rPr>
                <w:sz w:val="16"/>
              </w:rPr>
              <w:t>Validate assigned work, marking and Learn module flow</w:t>
            </w:r>
          </w:p>
        </w:tc>
        <w:tc>
          <w:tcPr>
            <w:tcW w:type="dxa" w:w="3283"/>
            <w:vAlign w:val="center"/>
          </w:tcPr>
          <w:p>
            <w:pPr>
              <w:spacing w:after="20"/>
            </w:pPr>
            <w:r>
              <w:rPr>
                <w:sz w:val="16"/>
              </w:rPr>
              <w:t>Complete end-to-end tests including evidence, approval and XP awarding</w:t>
            </w:r>
          </w:p>
        </w:tc>
      </w:tr>
      <w:tr>
        <w:tc>
          <w:tcPr>
            <w:tcW w:type="dxa" w:w="3283"/>
            <w:vAlign w:val="center"/>
            <w:shd w:fill="EFF5FA"/>
          </w:tcPr>
          <w:p>
            <w:pPr>
              <w:spacing w:after="20"/>
            </w:pPr>
            <w:r>
              <w:rPr>
                <w:sz w:val="16"/>
              </w:rPr>
              <w:t>P1</w:t>
            </w:r>
          </w:p>
        </w:tc>
        <w:tc>
          <w:tcPr>
            <w:tcW w:type="dxa" w:w="3283"/>
            <w:vAlign w:val="center"/>
            <w:shd w:fill="EFF5FA"/>
          </w:tcPr>
          <w:p>
            <w:pPr>
              <w:spacing w:after="20"/>
            </w:pPr>
            <w:r>
              <w:rPr>
                <w:sz w:val="16"/>
              </w:rPr>
              <w:t>Confirm sponsor acceptance and rubric scoring</w:t>
            </w:r>
          </w:p>
        </w:tc>
        <w:tc>
          <w:tcPr>
            <w:tcW w:type="dxa" w:w="3283"/>
            <w:vAlign w:val="center"/>
            <w:shd w:fill="EFF5FA"/>
          </w:tcPr>
          <w:p>
            <w:pPr>
              <w:spacing w:after="20"/>
            </w:pPr>
            <w:r>
              <w:rPr>
                <w:sz w:val="16"/>
              </w:rPr>
              <w:t>Document stakeholder feedback, criteria and sign-off</w:t>
            </w:r>
          </w:p>
        </w:tc>
      </w:tr>
      <w:tr>
        <w:tc>
          <w:tcPr>
            <w:tcW w:type="dxa" w:w="3283"/>
            <w:vAlign w:val="center"/>
          </w:tcPr>
          <w:p>
            <w:pPr>
              <w:spacing w:after="20"/>
            </w:pPr>
            <w:r>
              <w:rPr>
                <w:sz w:val="16"/>
              </w:rPr>
              <w:t>P2</w:t>
            </w:r>
          </w:p>
        </w:tc>
        <w:tc>
          <w:tcPr>
            <w:tcW w:type="dxa" w:w="3283"/>
            <w:vAlign w:val="center"/>
          </w:tcPr>
          <w:p>
            <w:pPr>
              <w:spacing w:after="20"/>
            </w:pPr>
            <w:r>
              <w:rPr>
                <w:sz w:val="16"/>
              </w:rPr>
              <w:t>Production integration</w:t>
            </w:r>
          </w:p>
        </w:tc>
        <w:tc>
          <w:tcPr>
            <w:tcW w:type="dxa" w:w="3283"/>
            <w:vAlign w:val="center"/>
          </w:tcPr>
          <w:p>
            <w:pPr>
              <w:spacing w:after="20"/>
            </w:pPr>
            <w:r>
              <w:rPr>
                <w:sz w:val="16"/>
              </w:rPr>
              <w:t>Plan MySQL/AWS, HTTPS, secrets, migration, backup and monitoring</w:t>
            </w:r>
          </w:p>
        </w:tc>
      </w:tr>
      <w:tr>
        <w:tc>
          <w:tcPr>
            <w:tcW w:type="dxa" w:w="3283"/>
            <w:vAlign w:val="center"/>
            <w:shd w:fill="EFF5FA"/>
          </w:tcPr>
          <w:p>
            <w:pPr>
              <w:spacing w:after="20"/>
            </w:pPr>
            <w:r>
              <w:rPr>
                <w:sz w:val="16"/>
              </w:rPr>
              <w:t>P2</w:t>
            </w:r>
          </w:p>
        </w:tc>
        <w:tc>
          <w:tcPr>
            <w:tcW w:type="dxa" w:w="3283"/>
            <w:vAlign w:val="center"/>
            <w:shd w:fill="EFF5FA"/>
          </w:tcPr>
          <w:p>
            <w:pPr>
              <w:spacing w:after="20"/>
            </w:pPr>
            <w:r>
              <w:rPr>
                <w:sz w:val="16"/>
              </w:rPr>
              <w:t>Improve demonstration-only content</w:t>
            </w:r>
          </w:p>
        </w:tc>
        <w:tc>
          <w:tcPr>
            <w:tcW w:type="dxa" w:w="3283"/>
            <w:vAlign w:val="center"/>
            <w:shd w:fill="EFF5FA"/>
          </w:tcPr>
          <w:p>
            <w:pPr>
              <w:spacing w:after="20"/>
            </w:pPr>
            <w:r>
              <w:rPr>
                <w:sz w:val="16"/>
              </w:rPr>
              <w:t>Replace sample certificates/catalogue with verified data or explicit demo labels</w:t>
            </w:r>
          </w:p>
        </w:tc>
      </w:tr>
    </w:tbl>
    <w:p>
      <w:pPr>
        <w:spacing w:after="0"/>
      </w:pPr>
    </w:p>
    <w:p>
      <w:pPr>
        <w:pStyle w:val="Heading1"/>
      </w:pPr>
      <w:r>
        <w:t>12. Operational support / troubleshooting</w:t>
      </w:r>
    </w:p>
    <w:tbl>
      <w:tblPr>
        <w:tblStyle w:val="TableGrid"/>
        <w:tblW w:type="auto" w:w="0"/>
        <w:tblLayout w:type="autofit"/>
        <w:tblLook w:firstColumn="1" w:firstRow="1" w:lastColumn="0" w:lastRow="0" w:noHBand="0" w:noVBand="1" w:val="04A0"/>
      </w:tblPr>
      <w:tblGrid>
        <w:gridCol w:w="4925"/>
        <w:gridCol w:w="4925"/>
      </w:tblGrid>
      <w:tr>
        <w:tc>
          <w:tcPr>
            <w:tcW w:type="dxa" w:w="4925"/>
            <w:shd w:fill="163E61"/>
          </w:tcPr>
          <w:p>
            <w:r>
              <w:rPr>
                <w:b/>
                <w:color w:val="FFFFFF"/>
                <w:sz w:val="16"/>
              </w:rPr>
              <w:t>Symptom</w:t>
            </w:r>
          </w:p>
        </w:tc>
        <w:tc>
          <w:tcPr>
            <w:tcW w:type="dxa" w:w="4925"/>
            <w:shd w:fill="163E61"/>
          </w:tcPr>
          <w:p>
            <w:r>
              <w:rPr>
                <w:b/>
                <w:color w:val="FFFFFF"/>
                <w:sz w:val="16"/>
              </w:rPr>
              <w:t>First check</w:t>
            </w:r>
          </w:p>
        </w:tc>
      </w:tr>
      <w:tr>
        <w:tc>
          <w:tcPr>
            <w:tcW w:type="dxa" w:w="4925"/>
            <w:vAlign w:val="center"/>
            <w:shd w:fill="EFF5FA"/>
          </w:tcPr>
          <w:p>
            <w:pPr>
              <w:spacing w:after="20"/>
            </w:pPr>
            <w:r>
              <w:rPr>
                <w:sz w:val="16"/>
              </w:rPr>
              <w:t>Port 4000 already in use</w:t>
            </w:r>
          </w:p>
        </w:tc>
        <w:tc>
          <w:tcPr>
            <w:tcW w:type="dxa" w:w="4925"/>
            <w:vAlign w:val="center"/>
            <w:shd w:fill="EFF5FA"/>
          </w:tcPr>
          <w:p>
            <w:pPr>
              <w:spacing w:after="20"/>
            </w:pPr>
            <w:r>
              <w:rPr>
                <w:sz w:val="16"/>
              </w:rPr>
              <w:t>lsof -nP -iTCP:4000 -sTCP:LISTEN; use existing server or stop recognised old one</w:t>
            </w:r>
          </w:p>
        </w:tc>
      </w:tr>
      <w:tr>
        <w:tc>
          <w:tcPr>
            <w:tcW w:type="dxa" w:w="4925"/>
            <w:vAlign w:val="center"/>
          </w:tcPr>
          <w:p>
            <w:pPr>
              <w:spacing w:after="20"/>
            </w:pPr>
            <w:r>
              <w:rPr>
                <w:sz w:val="16"/>
              </w:rPr>
              <w:t>Frontend opens on 5174/5175 or will not start</w:t>
            </w:r>
          </w:p>
        </w:tc>
        <w:tc>
          <w:tcPr>
            <w:tcW w:type="dxa" w:w="4925"/>
            <w:vAlign w:val="center"/>
          </w:tcPr>
          <w:p>
            <w:pPr>
              <w:spacing w:after="20"/>
            </w:pPr>
            <w:r>
              <w:rPr>
                <w:sz w:val="16"/>
              </w:rPr>
              <w:t>Release requires port 5173; close old Vite processes</w:t>
            </w:r>
          </w:p>
        </w:tc>
      </w:tr>
      <w:tr>
        <w:tc>
          <w:tcPr>
            <w:tcW w:type="dxa" w:w="4925"/>
            <w:vAlign w:val="center"/>
            <w:shd w:fill="EFF5FA"/>
          </w:tcPr>
          <w:p>
            <w:pPr>
              <w:spacing w:after="20"/>
            </w:pPr>
            <w:r>
              <w:rPr>
                <w:sz w:val="16"/>
              </w:rPr>
              <w:t>Login cannot reach API</w:t>
            </w:r>
          </w:p>
        </w:tc>
        <w:tc>
          <w:tcPr>
            <w:tcW w:type="dxa" w:w="4925"/>
            <w:vAlign w:val="center"/>
            <w:shd w:fill="EFF5FA"/>
          </w:tcPr>
          <w:p>
            <w:pPr>
              <w:spacing w:after="20"/>
            </w:pPr>
            <w:r>
              <w:rPr>
                <w:sz w:val="16"/>
              </w:rPr>
              <w:t>Verify /api/health, ports, root VITE_API_URL and backend CORS_ORIGIN</w:t>
            </w:r>
          </w:p>
        </w:tc>
      </w:tr>
      <w:tr>
        <w:tc>
          <w:tcPr>
            <w:tcW w:type="dxa" w:w="4925"/>
            <w:vAlign w:val="center"/>
          </w:tcPr>
          <w:p>
            <w:pPr>
              <w:spacing w:after="20"/>
            </w:pPr>
            <w:r>
              <w:rPr>
                <w:sz w:val="16"/>
              </w:rPr>
              <w:t>XP differs between browser sessions</w:t>
            </w:r>
          </w:p>
        </w:tc>
        <w:tc>
          <w:tcPr>
            <w:tcW w:type="dxa" w:w="4925"/>
            <w:vAlign w:val="center"/>
          </w:tcPr>
          <w:p>
            <w:pPr>
              <w:spacing w:after="20"/>
            </w:pPr>
            <w:r>
              <w:rPr>
                <w:sz w:val="16"/>
              </w:rPr>
              <w:t>Ensure running this updated release and same backend DB/account; ignore legacy localStorage XP</w:t>
            </w:r>
          </w:p>
        </w:tc>
      </w:tr>
      <w:tr>
        <w:tc>
          <w:tcPr>
            <w:tcW w:type="dxa" w:w="4925"/>
            <w:vAlign w:val="center"/>
            <w:shd w:fill="EFF5FA"/>
          </w:tcPr>
          <w:p>
            <w:pPr>
              <w:spacing w:after="20"/>
            </w:pPr>
            <w:r>
              <w:rPr>
                <w:sz w:val="16"/>
              </w:rPr>
              <w:t>npm audit fails</w:t>
            </w:r>
          </w:p>
        </w:tc>
        <w:tc>
          <w:tcPr>
            <w:tcW w:type="dxa" w:w="4925"/>
            <w:vAlign w:val="center"/>
            <w:shd w:fill="EFF5FA"/>
          </w:tcPr>
          <w:p>
            <w:pPr>
              <w:spacing w:after="20"/>
            </w:pPr>
            <w:r>
              <w:rPr>
                <w:sz w:val="16"/>
              </w:rPr>
              <w:t>Capture npm audit --json and inspect exact package/advisory before targeted update</w:t>
            </w:r>
          </w:p>
        </w:tc>
      </w:tr>
      <w:tr>
        <w:tc>
          <w:tcPr>
            <w:tcW w:type="dxa" w:w="4925"/>
            <w:vAlign w:val="center"/>
          </w:tcPr>
          <w:p>
            <w:pPr>
              <w:spacing w:after="20"/>
            </w:pPr>
            <w:r>
              <w:rPr>
                <w:sz w:val="16"/>
              </w:rPr>
              <w:t>Database write error</w:t>
            </w:r>
          </w:p>
        </w:tc>
        <w:tc>
          <w:tcPr>
            <w:tcW w:type="dxa" w:w="4925"/>
            <w:vAlign w:val="center"/>
          </w:tcPr>
          <w:p>
            <w:pPr>
              <w:spacing w:after="20"/>
            </w:pPr>
            <w:r>
              <w:rPr>
                <w:sz w:val="16"/>
              </w:rPr>
              <w:t>Confirm backend/data writable; backup SQLite before any schema/data migration</w:t>
            </w:r>
          </w:p>
        </w:tc>
      </w:tr>
    </w:tbl>
    <w:p>
      <w:pPr>
        <w:spacing w:after="0"/>
      </w:pPr>
    </w:p>
    <w:p>
      <w:r>
        <w:br w:type="page"/>
      </w:r>
    </w:p>
    <w:p>
      <w:pPr>
        <w:pStyle w:val="Heading1"/>
      </w:pPr>
      <w:r>
        <w:t>13. Handover checklist and acceptance</w:t>
      </w:r>
    </w:p>
    <w:p>
      <w:r>
        <w:t>The following items require actual team/client confirmation before the handover can be labelled final or production-ready. This document deliberately leaves those approvals open.</w:t>
      </w:r>
    </w:p>
    <w:p>
      <w:r>
        <w:t>☐  Package and source files transferred to the designated repository/team</w:t>
      </w:r>
    </w:p>
    <w:p>
      <w:r>
        <w:t>☐  Fresh backend suite and frontend build results attached for this release</w:t>
      </w:r>
    </w:p>
    <w:p>
      <w:r>
        <w:t>☐  Security audit completed and remaining findings documented</w:t>
      </w:r>
    </w:p>
    <w:p>
      <w:r>
        <w:t>☐  Cross-browser XP persistence demonstration completed</w:t>
      </w:r>
    </w:p>
    <w:p>
      <w:r>
        <w:t>☐  Role-based student, educator and employer workflows validated</w:t>
      </w:r>
    </w:p>
    <w:p>
      <w:r>
        <w:t>☐  Original sponsor requirements reviewed against known SQLite/AWS integration gaps</w:t>
      </w:r>
    </w:p>
    <w:p>
      <w:r>
        <w:t>☐  Placeholder marking criteria confirmed or clearly accepted as unfinished</w:t>
      </w:r>
    </w:p>
    <w:p>
      <w:r>
        <w:t>☐  Handover meeting held and maintainer assigned</w:t>
      </w:r>
    </w:p>
    <w:p>
      <w:r>
        <w:t>☐  Client/supervisor approval recorded</w:t>
      </w:r>
    </w:p>
    <w:p>
      <w:pPr>
        <w:pStyle w:val="Heading1"/>
      </w:pPr>
      <w:r>
        <w:t>14. Release changes</w:t>
      </w:r>
    </w:p>
    <w:tbl>
      <w:tblPr>
        <w:tblStyle w:val="TableGrid"/>
        <w:tblW w:type="auto" w:w="0"/>
        <w:tblLayout w:type="autofit"/>
        <w:tblLook w:firstColumn="1" w:firstRow="1" w:lastColumn="0" w:lastRow="0" w:noHBand="0" w:noVBand="1" w:val="04A0"/>
      </w:tblPr>
      <w:tblGrid>
        <w:gridCol w:w="3283"/>
        <w:gridCol w:w="3283"/>
        <w:gridCol w:w="3283"/>
      </w:tblGrid>
      <w:tr>
        <w:tc>
          <w:tcPr>
            <w:tcW w:type="dxa" w:w="3283"/>
            <w:shd w:fill="163E61"/>
          </w:tcPr>
          <w:p>
            <w:r>
              <w:rPr>
                <w:b/>
                <w:color w:val="FFFFFF"/>
                <w:sz w:val="16"/>
              </w:rPr>
              <w:t>Area</w:t>
            </w:r>
          </w:p>
        </w:tc>
        <w:tc>
          <w:tcPr>
            <w:tcW w:type="dxa" w:w="3283"/>
            <w:shd w:fill="163E61"/>
          </w:tcPr>
          <w:p>
            <w:r>
              <w:rPr>
                <w:b/>
                <w:color w:val="FFFFFF"/>
                <w:sz w:val="16"/>
              </w:rPr>
              <w:t>Previous release</w:t>
            </w:r>
          </w:p>
        </w:tc>
        <w:tc>
          <w:tcPr>
            <w:tcW w:type="dxa" w:w="3283"/>
            <w:shd w:fill="163E61"/>
          </w:tcPr>
          <w:p>
            <w:r>
              <w:rPr>
                <w:b/>
                <w:color w:val="FFFFFF"/>
                <w:sz w:val="16"/>
              </w:rPr>
              <w:t>Updated integrated release</w:t>
            </w:r>
          </w:p>
        </w:tc>
      </w:tr>
      <w:tr>
        <w:tc>
          <w:tcPr>
            <w:tcW w:type="dxa" w:w="3283"/>
            <w:vAlign w:val="center"/>
            <w:shd w:fill="EFF5FA"/>
          </w:tcPr>
          <w:p>
            <w:pPr>
              <w:spacing w:after="20"/>
            </w:pPr>
            <w:r>
              <w:rPr>
                <w:sz w:val="16"/>
              </w:rPr>
              <w:t>Student XP</w:t>
            </w:r>
          </w:p>
        </w:tc>
        <w:tc>
          <w:tcPr>
            <w:tcW w:type="dxa" w:w="3283"/>
            <w:vAlign w:val="center"/>
            <w:shd w:fill="EFF5FA"/>
          </w:tcPr>
          <w:p>
            <w:pPr>
              <w:spacing w:after="20"/>
            </w:pPr>
            <w:r>
              <w:rPr>
                <w:sz w:val="16"/>
              </w:rPr>
              <w:t>Browser localStorage (alumable-db-v1)</w:t>
            </w:r>
          </w:p>
        </w:tc>
        <w:tc>
          <w:tcPr>
            <w:tcW w:type="dxa" w:w="3283"/>
            <w:vAlign w:val="center"/>
            <w:shd w:fill="EFF5FA"/>
          </w:tcPr>
          <w:p>
            <w:pPr>
              <w:spacing w:after="20"/>
            </w:pPr>
            <w:r>
              <w:rPr>
                <w:sz w:val="16"/>
              </w:rPr>
              <w:t>SQLite-ledger total via authenticated GET /api/me</w:t>
            </w:r>
          </w:p>
        </w:tc>
      </w:tr>
      <w:tr>
        <w:tc>
          <w:tcPr>
            <w:tcW w:type="dxa" w:w="3283"/>
            <w:vAlign w:val="center"/>
          </w:tcPr>
          <w:p>
            <w:pPr>
              <w:spacing w:after="20"/>
            </w:pPr>
            <w:r>
              <w:rPr>
                <w:sz w:val="16"/>
              </w:rPr>
              <w:t>Activities</w:t>
            </w:r>
          </w:p>
        </w:tc>
        <w:tc>
          <w:tcPr>
            <w:tcW w:type="dxa" w:w="3283"/>
            <w:vAlign w:val="center"/>
          </w:tcPr>
          <w:p>
            <w:pPr>
              <w:spacing w:after="20"/>
            </w:pPr>
            <w:r>
              <w:rPr>
                <w:sz w:val="16"/>
              </w:rPr>
              <w:t>Browser-calculated claim decisions</w:t>
            </w:r>
          </w:p>
        </w:tc>
        <w:tc>
          <w:tcPr>
            <w:tcW w:type="dxa" w:w="3283"/>
            <w:vAlign w:val="center"/>
          </w:tcPr>
          <w:p>
            <w:pPr>
              <w:spacing w:after="20"/>
            </w:pPr>
            <w:r>
              <w:rPr>
                <w:sz w:val="16"/>
              </w:rPr>
              <w:t>Server /api/activities checks and /claim writes</w:t>
            </w:r>
          </w:p>
        </w:tc>
      </w:tr>
      <w:tr>
        <w:tc>
          <w:tcPr>
            <w:tcW w:type="dxa" w:w="3283"/>
            <w:vAlign w:val="center"/>
            <w:shd w:fill="EFF5FA"/>
          </w:tcPr>
          <w:p>
            <w:pPr>
              <w:spacing w:after="20"/>
            </w:pPr>
            <w:r>
              <w:rPr>
                <w:sz w:val="16"/>
              </w:rPr>
              <w:t>Progress history</w:t>
            </w:r>
          </w:p>
        </w:tc>
        <w:tc>
          <w:tcPr>
            <w:tcW w:type="dxa" w:w="3283"/>
            <w:vAlign w:val="center"/>
            <w:shd w:fill="EFF5FA"/>
          </w:tcPr>
          <w:p>
            <w:pPr>
              <w:spacing w:after="20"/>
            </w:pPr>
            <w:r>
              <w:rPr>
                <w:sz w:val="16"/>
              </w:rPr>
              <w:t>Browser-saved ledger</w:t>
            </w:r>
          </w:p>
        </w:tc>
        <w:tc>
          <w:tcPr>
            <w:tcW w:type="dxa" w:w="3283"/>
            <w:vAlign w:val="center"/>
            <w:shd w:fill="EFF5FA"/>
          </w:tcPr>
          <w:p>
            <w:pPr>
              <w:spacing w:after="20"/>
            </w:pPr>
            <w:r>
              <w:rPr>
                <w:sz w:val="16"/>
              </w:rPr>
              <w:t>Account-scoped backend /api/ledger</w:t>
            </w:r>
          </w:p>
        </w:tc>
      </w:tr>
      <w:tr>
        <w:tc>
          <w:tcPr>
            <w:tcW w:type="dxa" w:w="3283"/>
            <w:vAlign w:val="center"/>
          </w:tcPr>
          <w:p>
            <w:pPr>
              <w:spacing w:after="20"/>
            </w:pPr>
            <w:r>
              <w:rPr>
                <w:sz w:val="16"/>
              </w:rPr>
              <w:t>Course progress</w:t>
            </w:r>
          </w:p>
        </w:tc>
        <w:tc>
          <w:tcPr>
            <w:tcW w:type="dxa" w:w="3283"/>
            <w:vAlign w:val="center"/>
          </w:tcPr>
          <w:p>
            <w:pPr>
              <w:spacing w:after="20"/>
            </w:pPr>
            <w:r>
              <w:rPr>
                <w:sz w:val="16"/>
              </w:rPr>
              <w:t>Browser demo model</w:t>
            </w:r>
          </w:p>
        </w:tc>
        <w:tc>
          <w:tcPr>
            <w:tcW w:type="dxa" w:w="3283"/>
            <w:vAlign w:val="center"/>
          </w:tcPr>
          <w:p>
            <w:pPr>
              <w:spacing w:after="20"/>
            </w:pPr>
            <w:r>
              <w:rPr>
                <w:sz w:val="16"/>
              </w:rPr>
              <w:t>Server course-progress table and atomic award flow</w:t>
            </w:r>
          </w:p>
        </w:tc>
      </w:tr>
      <w:tr>
        <w:tc>
          <w:tcPr>
            <w:tcW w:type="dxa" w:w="3283"/>
            <w:vAlign w:val="center"/>
            <w:shd w:fill="EFF5FA"/>
          </w:tcPr>
          <w:p>
            <w:pPr>
              <w:spacing w:after="20"/>
            </w:pPr>
            <w:r>
              <w:rPr>
                <w:sz w:val="16"/>
              </w:rPr>
              <w:t>Gigs</w:t>
            </w:r>
          </w:p>
        </w:tc>
        <w:tc>
          <w:tcPr>
            <w:tcW w:type="dxa" w:w="3283"/>
            <w:vAlign w:val="center"/>
            <w:shd w:fill="EFF5FA"/>
          </w:tcPr>
          <w:p>
            <w:pPr>
              <w:spacing w:after="20"/>
            </w:pPr>
            <w:r>
              <w:rPr>
                <w:sz w:val="16"/>
              </w:rPr>
              <w:t>Local UI state</w:t>
            </w:r>
          </w:p>
        </w:tc>
        <w:tc>
          <w:tcPr>
            <w:tcW w:type="dxa" w:w="3283"/>
            <w:vAlign w:val="center"/>
            <w:shd w:fill="EFF5FA"/>
          </w:tcPr>
          <w:p>
            <w:pPr>
              <w:spacing w:after="20"/>
            </w:pPr>
            <w:r>
              <w:rPr>
                <w:sz w:val="16"/>
              </w:rPr>
              <w:t>Server-backed apply/withdraw operations</w:t>
            </w:r>
          </w:p>
        </w:tc>
      </w:tr>
      <w:tr>
        <w:tc>
          <w:tcPr>
            <w:tcW w:type="dxa" w:w="3283"/>
            <w:vAlign w:val="center"/>
          </w:tcPr>
          <w:p>
            <w:pPr>
              <w:spacing w:after="20"/>
            </w:pPr>
            <w:r>
              <w:rPr>
                <w:sz w:val="16"/>
              </w:rPr>
              <w:t>Avatar</w:t>
            </w:r>
          </w:p>
        </w:tc>
        <w:tc>
          <w:tcPr>
            <w:tcW w:type="dxa" w:w="3283"/>
            <w:vAlign w:val="center"/>
          </w:tcPr>
          <w:p>
            <w:pPr>
              <w:spacing w:after="20"/>
            </w:pPr>
            <w:r>
              <w:rPr>
                <w:sz w:val="16"/>
              </w:rPr>
              <w:t>Local state</w:t>
            </w:r>
          </w:p>
        </w:tc>
        <w:tc>
          <w:tcPr>
            <w:tcW w:type="dxa" w:w="3283"/>
            <w:vAlign w:val="center"/>
          </w:tcPr>
          <w:p>
            <w:pPr>
              <w:spacing w:after="20"/>
            </w:pPr>
            <w:r>
              <w:rPr>
                <w:sz w:val="16"/>
              </w:rPr>
              <w:t>Account-backed avatar save with optional wardrobe validation</w:t>
            </w:r>
          </w:p>
        </w:tc>
      </w:tr>
      <w:tr>
        <w:tc>
          <w:tcPr>
            <w:tcW w:type="dxa" w:w="3283"/>
            <w:vAlign w:val="center"/>
            <w:shd w:fill="EFF5FA"/>
          </w:tcPr>
          <w:p>
            <w:pPr>
              <w:spacing w:after="20"/>
            </w:pPr>
            <w:r>
              <w:rPr>
                <w:sz w:val="16"/>
              </w:rPr>
              <w:t>Security deps</w:t>
            </w:r>
          </w:p>
        </w:tc>
        <w:tc>
          <w:tcPr>
            <w:tcW w:type="dxa" w:w="3283"/>
            <w:vAlign w:val="center"/>
            <w:shd w:fill="EFF5FA"/>
          </w:tcPr>
          <w:p>
            <w:pPr>
              <w:spacing w:after="20"/>
            </w:pPr>
            <w:r>
              <w:rPr>
                <w:sz w:val="16"/>
              </w:rPr>
              <w:t>React Router 7 compatibility + Vite 8.3.0</w:t>
            </w:r>
          </w:p>
        </w:tc>
        <w:tc>
          <w:tcPr>
            <w:tcW w:type="dxa" w:w="3283"/>
            <w:vAlign w:val="center"/>
            <w:shd w:fill="EFF5FA"/>
          </w:tcPr>
          <w:p>
            <w:pPr>
              <w:spacing w:after="20"/>
            </w:pPr>
            <w:r>
              <w:rPr>
                <w:sz w:val="16"/>
              </w:rPr>
              <w:t>React Router 8.4 + Vite &gt;=8.3.4, audit pending</w:t>
            </w:r>
          </w:p>
        </w:tc>
      </w:tr>
      <w:tr>
        <w:tc>
          <w:tcPr>
            <w:tcW w:type="dxa" w:w="3283"/>
            <w:vAlign w:val="center"/>
          </w:tcPr>
          <w:p>
            <w:pPr>
              <w:spacing w:after="20"/>
            </w:pPr>
            <w:r>
              <w:rPr>
                <w:sz w:val="16"/>
              </w:rPr>
              <w:t>Appearance</w:t>
            </w:r>
          </w:p>
        </w:tc>
        <w:tc>
          <w:tcPr>
            <w:tcW w:type="dxa" w:w="3283"/>
            <w:vAlign w:val="center"/>
          </w:tcPr>
          <w:p>
            <w:pPr>
              <w:spacing w:after="20"/>
            </w:pPr>
            <w:r>
              <w:rPr>
                <w:sz w:val="16"/>
              </w:rPr>
              <w:t>Night/light toggle stored locally</w:t>
            </w:r>
          </w:p>
        </w:tc>
        <w:tc>
          <w:tcPr>
            <w:tcW w:type="dxa" w:w="3283"/>
            <w:vAlign w:val="center"/>
          </w:tcPr>
          <w:p>
            <w:pPr>
              <w:spacing w:after="20"/>
            </w:pPr>
            <w:r>
              <w:rPr>
                <w:sz w:val="16"/>
              </w:rPr>
              <w:t>Preserved; intended per-device preference</w:t>
            </w:r>
          </w:p>
        </w:tc>
      </w:tr>
    </w:tbl>
    <w:p>
      <w:pPr>
        <w:spacing w:after="0"/>
      </w:pPr>
    </w:p>
    <w:p>
      <w:pPr>
        <w:pStyle w:val="Heading1"/>
      </w:pPr>
      <w:r>
        <w:t>15. Source record</w:t>
      </w:r>
    </w:p>
    <w:p>
      <w:r>
        <w:t>Prepared using the following supplied evidence: Project Brief 2026 – Alumable Gamification Engine.pdf (pp. 1–3); Assessment 3 Submission rubric; Assessment 4 Rubric; Student Group Project Charter template (unsigned); Alumable_Arcade_Light_Dark_No_Poster.zip; backend README, DECISIONS.md, source/tests; 14 Oct 2026 team screenshots (backend test, health response, login, dashboard, XP claim).</w:t>
      </w:r>
    </w:p>
    <w:p>
      <w:r>
        <w:t>The group charter supplied is a blank template; no signatures, individual assignments, client feedback or sponsor approval are inferred from it.</w:t>
      </w:r>
    </w:p>
    <w:p>
      <w:r>
        <w:t>Handover review sign-off — Technical reviewer: __________________  Date: __________   Client/sponsor: __________________  Date: __________</w:t>
      </w:r>
    </w:p>
    <w:sectPr w:rsidR="00FC693F" w:rsidRPr="0006063C" w:rsidSect="00034616">
      <w:headerReference w:type="default" r:id="rId9"/>
      <w:footerReference w:type="default" r:id="rId10"/>
      <w:pgSz w:w="12240" w:h="15840"/>
      <w:pgMar w:top="1080" w:right="1195" w:bottom="936"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14 OCTOBER 2026  •  RELEASE CANDIDATE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B5E6F"/>
        <w:sz w:val="16"/>
      </w:rPr>
      <w:t>ALUMABLE  /  CSE3CAP  /  TECHNICAL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pPr>
    <w:rPr>
      <w:rFonts w:ascii="Aptos" w:hAnsi="Aptos"/>
      <w:color w:val="122F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2497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Display" w:hAnsi="Aptos Display"/>
      <w:b/>
      <w:bCs/>
      <w:color w:val="124970"/>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Display" w:hAnsi="Aptos Display"/>
      <w:b/>
      <w:bCs/>
      <w:color w:val="12497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80"/>
      <w:contextualSpacing/>
    </w:pPr>
    <w:rPr>
      <w:rFonts w:asciiTheme="majorHAnsi" w:eastAsiaTheme="majorEastAsia" w:hAnsiTheme="majorHAnsi" w:cstheme="majorBidi" w:ascii="Aptos Display" w:hAnsi="Aptos Display"/>
      <w:b/>
      <w:color w:val="12497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