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0DE7D" w14:textId="5A290E9E" w:rsidR="00AB5AAD" w:rsidRDefault="00AB5AAD" w:rsidP="00AB5AAD">
      <w:pPr>
        <w:pStyle w:val="Title"/>
      </w:pPr>
      <w:r>
        <w:t>Literature Summary</w:t>
      </w:r>
    </w:p>
    <w:p w14:paraId="69487BF2" w14:textId="4FD82BF6" w:rsidR="00AB5AAD" w:rsidRDefault="00AB5AAD">
      <w:r>
        <w:t xml:space="preserve">This document includes a summary of the papers included within the literature folder in the project folder. Each summary will include the file name, a citation, and a summary. Not all papers will be relevant, and this summary should stand to allow individuals to determine which papers might be relevant. Please note this is not an exhaustive list, just a starting point. </w:t>
      </w:r>
    </w:p>
    <w:p w14:paraId="616ADA1F" w14:textId="6A41618E" w:rsidR="00A931F8" w:rsidRDefault="009955D8" w:rsidP="00AB5AAD">
      <w:pPr>
        <w:pStyle w:val="Heading1"/>
      </w:pPr>
      <w:r>
        <w:t>AlHasan_2025.pdf</w:t>
      </w:r>
    </w:p>
    <w:p w14:paraId="7277A90B" w14:textId="497FFDA1" w:rsidR="009955D8" w:rsidRDefault="009955D8">
      <w:r>
        <w:fldChar w:fldCharType="begin"/>
      </w:r>
      <w:r>
        <w:instrText xml:space="preserve"> ADDIN ZOTERO_ITEM CSL_CITATION {"citationID":"8Dc8UOgw","properties":{"unsorted":false,"formattedCitation":"(Alhasan, 2025)","plainCitation":"(Alhasan, 2025)","noteIndex":0},"citationItems":[{"id":6789,"uris":["http://zotero.org/users/12626513/items/AB7XUM7B"],"itemData":{"id":6789,"type":"article-journal","abstract":"Health Information Exchanges (HIEs) are revolutionizing healthcare by facilitating secure and timely patient data sharing across diverse organizations. However, their rapid expansion has introduced significant legal and ethical challenges, particularly regarding privacy, informed consent, and liability risks. This paper critically assesses the effectiveness of existing legal frameworks, including Health Insurance Portability and Accountability Act (HIPAA) and General Data Protection Regulation (GDPR), in addressing these challenges, revealing gaps in their application within HIEs. It argues that current consent models fail to provide meaningful control for patients, while privacy protections are weakened by issues such as re-identification and jurisdictional inconsistencies. Moreover, liability in data breaches remains complex due to ambiguous responsibility among stakeholders. The study concludes that reforms are needed, including dynamic consent models, standardized liability frameworks, and enhanced data governance structures, to ensure secure, ethical, and effective data sharing. These changes are essential to fostering patient trust, improving healthcare delivery, and aligning with Sustainable Development Goal (SDG) 3—ensuring healthy lives and promoting well-being for all.","container-title":"Journal of Healthcare Risk Management","DOI":"10.1002/jhrm.70002","ISSN":"2040-0861","issue":"4","language":"en","note":"_eprint: https://onlinelibrary.wiley.com/doi/pdf/10.1002/jhrm.70002","page":"12-24","source":"Wiley Online Library","title":"Managing legal risks in health information exchanges: A comprehensive approach to privacy, consent, and liability","title-short":"Managing legal risks in health information exchanges","volume":"44","author":[{"family":"Alhasan","given":"Tariq K."}],"issued":{"date-parts":[["2025"]]}}}],"schema":"https://github.com/citation-style-language/schema/raw/master/csl-citation.json"} </w:instrText>
      </w:r>
      <w:r>
        <w:fldChar w:fldCharType="separate"/>
      </w:r>
      <w:r>
        <w:rPr>
          <w:noProof/>
        </w:rPr>
        <w:t>(Alhasan, 2025)</w:t>
      </w:r>
      <w:r>
        <w:fldChar w:fldCharType="end"/>
      </w:r>
    </w:p>
    <w:p w14:paraId="6B525A88" w14:textId="1D6C6B27" w:rsidR="009955D8" w:rsidRDefault="00974670">
      <w:r>
        <w:t xml:space="preserve">This paper explores </w:t>
      </w:r>
      <w:r w:rsidR="007F64CD">
        <w:t xml:space="preserve">the factors that influence data sharing abilities including the relevant policies and how differences in policies across organizations and jurisdictions can make data sharing more risky risking participant trust. </w:t>
      </w:r>
      <w:r w:rsidR="000E58CF">
        <w:t xml:space="preserve">Has more to do with ethics and consenting than it does with re-identification risk but gives some good context around the other factors that are involved in secondary use of large datasets. </w:t>
      </w:r>
    </w:p>
    <w:p w14:paraId="6917E23B" w14:textId="6434D12D" w:rsidR="005951E9" w:rsidRDefault="005951E9" w:rsidP="005951E9">
      <w:pPr>
        <w:pStyle w:val="Heading1"/>
      </w:pPr>
      <w:r>
        <w:t>Joseph_2023.pdf</w:t>
      </w:r>
    </w:p>
    <w:p w14:paraId="7755F3C6" w14:textId="710B90B8" w:rsidR="005951E9" w:rsidRDefault="005951E9" w:rsidP="005951E9">
      <w:r>
        <w:fldChar w:fldCharType="begin"/>
      </w:r>
      <w:r>
        <w:instrText xml:space="preserve"> ADDIN ZOTERO_ITEM CSL_CITATION {"citationID":"EiSH4q9d","properties":{"unsorted":false,"formattedCitation":"(Joseph, 2023)","plainCitation":"(Joseph, 2023)","noteIndex":0},"citationItems":[{"id":6803,"uris":["http://zotero.org/users/12626513/items/87EXE6AE"],"itemData":{"id":6803,"type":"article-journal","abstract":"For qualitative researchers seeking the perspectives of people with unusual characteristics or circumstances, compliance with expectations about participant anonymity can be difficult, if not impossible. In the age of internet communications and emerging research methodologies, traditional strategies require ongoing re-examination to ensure cohesion between a project's ethical framework and its research practice. This paper reflects on the approach to informed consent used in a study with parent carers whose children had high-level support needs. A two-step process of written consent was developed in response to concerns about the possible re-identification of these parents as a result of their highly individual circumstances. This approach acknowledged the potential for identification, and maximised participants' agency in choosing the level of risk that they were comfortable to accommodate. The paper discusses the researcher's and participants' responses to the adapted consent process and recommends that researchers and ethics review committees remain open to the development of collaborative and innovative approaches that are also culturally and contextually relevant, to enable people to contribute perspectives that might otherwise be silenced by the very ethical frameworks that purport to protect their interests.","container-title":"Ethics and social welfare","DOI":"10.1080/17496535.2023.2206671","ISSN":"1749-6535","issue":"2","language":"eng","page":"191–205","publisher":"Routledge","publisher-place":"Abingdon","source":"ucalgary.primo.exlibrisgroup.com","title":"'It's All Public Anyway': A Collaborative Navigation of Anonymity and Informed Consent in a Study with Identifiable Parent Carers","title-short":"'It's All Public Anyway'","volume":"17","author":[{"family":"Joseph","given":"Pam"}],"issued":{"date-parts":[["2023"]]}}}],"schema":"https://github.com/citation-style-language/schema/raw/master/csl-citation.json"} </w:instrText>
      </w:r>
      <w:r>
        <w:fldChar w:fldCharType="separate"/>
      </w:r>
      <w:r>
        <w:rPr>
          <w:noProof/>
        </w:rPr>
        <w:t>(Joseph, 2023)</w:t>
      </w:r>
      <w:r>
        <w:fldChar w:fldCharType="end"/>
      </w:r>
    </w:p>
    <w:p w14:paraId="3561CA64" w14:textId="33698321" w:rsidR="005951E9" w:rsidRDefault="00907640" w:rsidP="005951E9">
      <w:r>
        <w:t>Good information in here about factors that might contribute to re-identification risk</w:t>
      </w:r>
      <w:r w:rsidR="00DC795C">
        <w:t xml:space="preserve">. It also gets into the perception of parents of children with rare disease and the fact that they are often sharing personal information and their perception of privacy might be different. </w:t>
      </w:r>
    </w:p>
    <w:p w14:paraId="116E67CC" w14:textId="6D4F1D90" w:rsidR="000567D6" w:rsidRDefault="000567D6" w:rsidP="000567D6">
      <w:pPr>
        <w:pStyle w:val="Heading1"/>
      </w:pPr>
      <w:r>
        <w:t>MeurersEtAl_2024.pdf</w:t>
      </w:r>
    </w:p>
    <w:p w14:paraId="32324739" w14:textId="77E83E5F" w:rsidR="000567D6" w:rsidRDefault="000567D6" w:rsidP="000567D6">
      <w:r>
        <w:fldChar w:fldCharType="begin"/>
      </w:r>
      <w:r>
        <w:instrText xml:space="preserve"> ADDIN ZOTERO_ITEM CSL_CITATION {"citationID":"V0u3hMmf","properties":{"unsorted":false,"formattedCitation":"(Meurers et al., 2024)","plainCitation":"(Meurers et al., 2024)","noteIndex":0},"citationItems":[{"id":66,"uris":["http://zotero.org/users/12626513/items/B8U8NL66"],"itemData":{"id":66,"type":"chapter","abstract":"Sharing biomedical data for research can help to improve disease understanding and support the development of preventive, diagnostic, and therapeutic methods. However, it is vital to balance the amount of data shared and the sharing mechanism chosen with the privacy protection provided. This requires a detailed understanding of potential adversaries who might attempt to re-identify data and the consequences of their actions. The aim of this paper is to present a comprehensive list of potential types of adversaries, motivations, and harms to targeted individuals. A group of 13 researchers performed a three-step process in a one-day workshop, involving the identification of adversaries, the categorization by motivation, and the deduction of potential harms. The group collected 28 suggestions and categorized them into six types, each associated with several of six distinct harms. The findings align with previous efforts in structuring threat actors and outcomes and we believe that they provide a robust foundation for evaluating re-identification risks and developing protection measures in health data sharing scenarios.","container-title":"Studies in Health Technology and Informatics","DOI":"10.3233/SHTI240626","ISBN":"978-1-64368-533-5","language":"en","license":"https://creativecommons.org/licenses/by-nc/4.0/","publisher":"IOS Press","source":"DOI.org (Crossref)","title":"Health Data Re-Identification: Assessing Adversaries and Potential Harms","title-short":"Health Data Re-Identification","URL":"https://ebooks.iospress.nl/doi/10.3233/SHTI240626","editor":[{"family":"Mantas","given":"John"},{"family":"Hasman","given":"Arie"},{"family":"Demiris","given":"George"},{"family":"Saranto","given":"Kaija"},{"family":"Marschollek","given":"Michael"},{"family":"Arvanitis","given":"Theodoros N."},{"family":"Ognjanović","given":"Ivana"},{"family":"Benis","given":"Arriel"},{"family":"Gallos","given":"Parisis"},{"family":"Zoulias","given":"Emmanouil"},{"family":"Andrikopoulou","given":"Elisavet"}],"author":[{"family":"Meurers","given":"Thierry"},{"family":"Baum","given":"Lena"},{"family":"Haber","given":"Anna Christine"},{"family":"Halilovic","given":"Mehmed"},{"family":"Heinz","given":"Birgit"},{"family":"Milicevic","given":"Vladimir"},{"family":"Neves","given":"Diogo Telmo"},{"family":"Otte","given":"Karen"},{"family":"Pasquier","given":"Anna"},{"family":"Poikela","given":"Maija"},{"family":"Sheykholeslami","given":"Maryam"},{"family":"Wirth","given":"Felix"},{"family":"Prasser","given":"Fabian"}],"accessed":{"date-parts":[["2025",4,22]]},"issued":{"date-parts":[["2024",8,22]]}}}],"schema":"https://github.com/citation-style-language/schema/raw/master/csl-citation.json"} </w:instrText>
      </w:r>
      <w:r>
        <w:fldChar w:fldCharType="separate"/>
      </w:r>
      <w:r>
        <w:rPr>
          <w:noProof/>
        </w:rPr>
        <w:t>(Meurers et al., 2024)</w:t>
      </w:r>
      <w:r>
        <w:fldChar w:fldCharType="end"/>
      </w:r>
    </w:p>
    <w:p w14:paraId="5A282E44" w14:textId="5350CBC6" w:rsidR="000567D6" w:rsidRDefault="003F5380" w:rsidP="000567D6">
      <w:r>
        <w:t xml:space="preserve">This paper assesses the different </w:t>
      </w:r>
      <w:r w:rsidR="005A5C7F">
        <w:t xml:space="preserve">types of risks for re-identification (i.e., the types of actors who might breach health data). </w:t>
      </w:r>
    </w:p>
    <w:p w14:paraId="5118CF2C" w14:textId="3066ECD9" w:rsidR="005A5C7F" w:rsidRDefault="005A5C7F" w:rsidP="005A5C7F">
      <w:pPr>
        <w:pStyle w:val="Heading1"/>
      </w:pPr>
      <w:r>
        <w:t>JiangEtAl_2022.pdf</w:t>
      </w:r>
    </w:p>
    <w:p w14:paraId="456DA381" w14:textId="171AE2A2" w:rsidR="005A5C7F" w:rsidRDefault="005A5C7F" w:rsidP="005A5C7F">
      <w:r>
        <w:fldChar w:fldCharType="begin"/>
      </w:r>
      <w:r>
        <w:instrText xml:space="preserve"> ADDIN ZOTERO_ITEM CSL_CITATION {"citationID":"JMOxCDa4","properties":{"unsorted":false,"formattedCitation":"(Jiang et al., 2022)","plainCitation":"(Jiang et al., 2022)","noteIndex":0},"citationItems":[{"id":73,"uris":["http://zotero.org/users/12626513/items/I775ARWT"],"itemData":{"id":73,"type":"article-journal","abstract":"Background One common way to share health data for secondary analysis while meeting increasingly strict privacy regulations is to de-identify it. To demonstrate that the risk of re-identification is acceptably low, re-identification risk metrics are used. There is a dearth of good risk estimators modeling the attack scenario where an adversary selects a record from the microdata sample and attempts to match it with individuals in the population.","container-title":"PLOS ONE","DOI":"10.1371/journal.pone.0269097","ISSN":"1932-6203","issue":"6","journalAbbreviation":"PLoS ONE","language":"en","page":"e0269097","source":"DOI.org (Crossref)","title":"Measuring re-identification risk using a synthetic estimator to enable data sharing","volume":"17","author":[{"family":"Jiang","given":"Yangdi"},{"family":"Mosquera","given":"Lucy"},{"family":"Jiang","given":"Bei"},{"family":"Kong","given":"Linglong"},{"family":"El Emam","given":"Khaled"}],"editor":[{"family":"Zhou","given":"Jianhong"}],"issued":{"date-parts":[["2022",6,17]]}}}],"schema":"https://github.com/citation-style-language/schema/raw/master/csl-citation.json"} </w:instrText>
      </w:r>
      <w:r>
        <w:fldChar w:fldCharType="separate"/>
      </w:r>
      <w:r>
        <w:rPr>
          <w:noProof/>
        </w:rPr>
        <w:t>(Jiang et al., 2022)</w:t>
      </w:r>
      <w:r>
        <w:fldChar w:fldCharType="end"/>
      </w:r>
    </w:p>
    <w:p w14:paraId="10D30C76" w14:textId="1D3A7EDF" w:rsidR="005A5C7F" w:rsidRDefault="005A5C7F" w:rsidP="005A5C7F">
      <w:r>
        <w:t xml:space="preserve">An example paper with some approaches to re-identification risk. </w:t>
      </w:r>
    </w:p>
    <w:p w14:paraId="7BB10E41" w14:textId="0C285EB2" w:rsidR="005A5C7F" w:rsidRDefault="00187781" w:rsidP="00187781">
      <w:pPr>
        <w:pStyle w:val="Heading1"/>
      </w:pPr>
      <w:r>
        <w:lastRenderedPageBreak/>
        <w:t>MorehouseEtAl_2024.pdf</w:t>
      </w:r>
    </w:p>
    <w:p w14:paraId="3E9C1053" w14:textId="7044CA18" w:rsidR="00187781" w:rsidRDefault="00187781" w:rsidP="00187781">
      <w:r>
        <w:fldChar w:fldCharType="begin"/>
      </w:r>
      <w:r>
        <w:instrText xml:space="preserve"> ADDIN ZOTERO_ITEM CSL_CITATION {"citationID":"nBKKps02","properties":{"unsorted":false,"formattedCitation":"(Morehouse et al., 2024)","plainCitation":"(Morehouse et al., 2024)","noteIndex":0},"citationItems":[{"id":74,"uris":["http://zotero.org/users/12626513/items/6VRHRXTT"],"itemData":{"id":74,"type":"article-journal","abstract":"The rapid and widespread adoption of open science practices has increased the transparency and reproducibility of psychological research. However, it also poses a pressing new challenge: How can researchers protect the anonymity of research participants in open data sets? The present article provides psychological scientists with broadly applicable guidelines and tangible tools so that they can continue to engage in open science practices without jeopardizing the privacy of participants.","container-title":"American Psychologist","DOI":"10.1037/amp0001346","ISSN":"1935-990X, 0003-066X","journalAbbreviation":"American Psychologist","language":"en","source":"DOI.org (Crossref)","title":"Responsible data sharing: Identifying and remedying possible re-identification of human participants.","title-short":"Responsible data sharing","URL":"https://doi.apa.org/doi/10.1037/amp0001346","author":[{"family":"Morehouse","given":"Kirsten N."},{"family":"Kurdi","given":"Benedek"},{"family":"Nosek","given":"Brian A."}],"accessed":{"date-parts":[["2025",4,25]]},"issued":{"date-parts":[["2024",5,6]]}}}],"schema":"https://github.com/citation-style-language/schema/raw/master/csl-citation.json"} </w:instrText>
      </w:r>
      <w:r>
        <w:fldChar w:fldCharType="separate"/>
      </w:r>
      <w:r>
        <w:rPr>
          <w:noProof/>
        </w:rPr>
        <w:t>(Morehouse et al., 2024)</w:t>
      </w:r>
      <w:r>
        <w:fldChar w:fldCharType="end"/>
      </w:r>
    </w:p>
    <w:p w14:paraId="4A2E1678" w14:textId="27B9FE93" w:rsidR="00187781" w:rsidRPr="00187781" w:rsidRDefault="00187781" w:rsidP="00187781">
      <w:r>
        <w:t xml:space="preserve">Paper reviewing strategies for de-identification and talking about where the responsibilities lies for re-identification risk. </w:t>
      </w:r>
    </w:p>
    <w:sectPr w:rsidR="00187781" w:rsidRPr="0018778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1B2"/>
    <w:rsid w:val="000567D6"/>
    <w:rsid w:val="000E58CF"/>
    <w:rsid w:val="00187781"/>
    <w:rsid w:val="003F5380"/>
    <w:rsid w:val="005951E9"/>
    <w:rsid w:val="005A5C7F"/>
    <w:rsid w:val="005F5F0F"/>
    <w:rsid w:val="007F64CD"/>
    <w:rsid w:val="00907640"/>
    <w:rsid w:val="00974670"/>
    <w:rsid w:val="009955D8"/>
    <w:rsid w:val="00A4268D"/>
    <w:rsid w:val="00A931F8"/>
    <w:rsid w:val="00AB5AAD"/>
    <w:rsid w:val="00D74949"/>
    <w:rsid w:val="00DC795C"/>
    <w:rsid w:val="00E061B2"/>
    <w:rsid w:val="00EB75FB"/>
    <w:rsid w:val="00F750B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9EB4E24"/>
  <w15:chartTrackingRefBased/>
  <w15:docId w15:val="{1BE27462-17D0-0441-8813-5B73CABD5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1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61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61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1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1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1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61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61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1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1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1B2"/>
    <w:rPr>
      <w:rFonts w:eastAsiaTheme="majorEastAsia" w:cstheme="majorBidi"/>
      <w:color w:val="272727" w:themeColor="text1" w:themeTint="D8"/>
    </w:rPr>
  </w:style>
  <w:style w:type="paragraph" w:styleId="Title">
    <w:name w:val="Title"/>
    <w:basedOn w:val="Normal"/>
    <w:next w:val="Normal"/>
    <w:link w:val="TitleChar"/>
    <w:uiPriority w:val="10"/>
    <w:qFormat/>
    <w:rsid w:val="00E06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1B2"/>
    <w:pPr>
      <w:spacing w:before="160"/>
      <w:jc w:val="center"/>
    </w:pPr>
    <w:rPr>
      <w:i/>
      <w:iCs/>
      <w:color w:val="404040" w:themeColor="text1" w:themeTint="BF"/>
    </w:rPr>
  </w:style>
  <w:style w:type="character" w:customStyle="1" w:styleId="QuoteChar">
    <w:name w:val="Quote Char"/>
    <w:basedOn w:val="DefaultParagraphFont"/>
    <w:link w:val="Quote"/>
    <w:uiPriority w:val="29"/>
    <w:rsid w:val="00E061B2"/>
    <w:rPr>
      <w:i/>
      <w:iCs/>
      <w:color w:val="404040" w:themeColor="text1" w:themeTint="BF"/>
    </w:rPr>
  </w:style>
  <w:style w:type="paragraph" w:styleId="ListParagraph">
    <w:name w:val="List Paragraph"/>
    <w:basedOn w:val="Normal"/>
    <w:uiPriority w:val="34"/>
    <w:qFormat/>
    <w:rsid w:val="00E061B2"/>
    <w:pPr>
      <w:ind w:left="720"/>
      <w:contextualSpacing/>
    </w:pPr>
  </w:style>
  <w:style w:type="character" w:styleId="IntenseEmphasis">
    <w:name w:val="Intense Emphasis"/>
    <w:basedOn w:val="DefaultParagraphFont"/>
    <w:uiPriority w:val="21"/>
    <w:qFormat/>
    <w:rsid w:val="00E061B2"/>
    <w:rPr>
      <w:i/>
      <w:iCs/>
      <w:color w:val="0F4761" w:themeColor="accent1" w:themeShade="BF"/>
    </w:rPr>
  </w:style>
  <w:style w:type="paragraph" w:styleId="IntenseQuote">
    <w:name w:val="Intense Quote"/>
    <w:basedOn w:val="Normal"/>
    <w:next w:val="Normal"/>
    <w:link w:val="IntenseQuoteChar"/>
    <w:uiPriority w:val="30"/>
    <w:qFormat/>
    <w:rsid w:val="00E06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1B2"/>
    <w:rPr>
      <w:i/>
      <w:iCs/>
      <w:color w:val="0F4761" w:themeColor="accent1" w:themeShade="BF"/>
    </w:rPr>
  </w:style>
  <w:style w:type="character" w:styleId="IntenseReference">
    <w:name w:val="Intense Reference"/>
    <w:basedOn w:val="DefaultParagraphFont"/>
    <w:uiPriority w:val="32"/>
    <w:qFormat/>
    <w:rsid w:val="00E061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2</Pages>
  <Words>1817</Words>
  <Characters>10360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Kelsey Harkness</dc:creator>
  <cp:keywords/>
  <dc:description/>
  <cp:lastModifiedBy>Kelsey Harkness</cp:lastModifiedBy>
  <cp:revision>3</cp:revision>
  <dcterms:created xsi:type="dcterms:W3CDTF">2026-05-25T15:38:00Z</dcterms:created>
  <dcterms:modified xsi:type="dcterms:W3CDTF">2026-05-27T23:36:00Z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id="TtHVLuTs"/&gt;&lt;style id="http://www.zotero.org/styles/apa" locale="en-CA" hasBibliography="1" bibliographyStyleHasBeenSet="0"/&gt;&lt;prefs&gt;&lt;pref name="fieldType" value="Field"/&gt;&lt;pref name="automaticJourna</vt:lpwstr>
  </property>
  <property fmtid="{D5CDD505-2E9C-101B-9397-08002B2CF9AE}" pid="3" name="ZOTERO_PREF_2">
    <vt:lpwstr>lAbbreviations" value="true"/&gt;&lt;/prefs&gt;&lt;/data&gt;</vt:lpwstr>
  </property>
</Properties>
</file>