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Felipe Gómez Lesmes y Laura Bohorquez 1101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 de responsave (adaptable a distintos tamaños de pantalla)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3762375" cy="2686050"/>
            <wp:effectExtent b="0" l="0" r="0" t="0"/>
            <wp:docPr descr="C:\Users\ESTUDIANTE\AppData\Local\Microsoft\Windows\INetCache\Content.Word\11111111111.png" id="1" name="image3.png"/>
            <a:graphic>
              <a:graphicData uri="http://schemas.openxmlformats.org/drawingml/2006/picture">
                <pic:pic>
                  <pic:nvPicPr>
                    <pic:cNvPr descr="C:\Users\ESTUDIANTE\AppData\Local\Microsoft\Windows\INetCache\Content.Word\11111111111.pn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3745552" cy="4939637"/>
            <wp:effectExtent b="0" l="0" r="0" t="0"/>
            <wp:docPr descr="C:\Users\ESTUDIANTE\AppData\Local\Microsoft\Windows\INetCache\Content.Word\11111.png" id="3" name="image1.png"/>
            <a:graphic>
              <a:graphicData uri="http://schemas.openxmlformats.org/drawingml/2006/picture">
                <pic:pic>
                  <pic:nvPicPr>
                    <pic:cNvPr descr="C:\Users\ESTUDIANTE\AppData\Local\Microsoft\Windows\INetCache\Content.Word\11111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5552" cy="4939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3189106" cy="5600114"/>
            <wp:effectExtent b="0" l="0" r="0" t="0"/>
            <wp:docPr descr="C:\Users\ESTUDIANTE\AppData\Local\Microsoft\Windows\INetCache\Content.Word\111.png" id="2" name="image2.png"/>
            <a:graphic>
              <a:graphicData uri="http://schemas.openxmlformats.org/drawingml/2006/picture">
                <pic:pic>
                  <pic:nvPicPr>
                    <pic:cNvPr descr="C:\Users\ESTUDIANTE\AppData\Local\Microsoft\Windows\INetCache\Content.Word\111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9106" cy="5600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Código:</w:t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La meta etiqueta viewport es fundamental para cualquier diseño responsive.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HTML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&lt;meta name="viewport" content="width=device-width, initial-scale=1.0"/&gt;</w:t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Grids automáticos con auto-fill y minmax (): Esto permite que las tarjetas se organicen automáticamente según el ancho de la pantalla, sin tener que recurrir a media queries.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css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.grilla {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display: grid;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grid-template-columns: repeat(auto-fill, minmax(240px, 1fr));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gap: 14px;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css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.info-boxes {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display: grid;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grid-template-columns: repeat(auto-fill, minmax(200px, 1fr));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gap: 12px;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Flexbox con flex-wrap: wrap: Permite que los elementos se desplacen a la siguiente línea en pantallas más pequeñas.</w:t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css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header {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display: flex; align-items: center; justify-content: space-between; flex-wrap: wrap; gap: 6px;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css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.integrantes { display: flex; flex-wrap: wrap; gap: 12px; margin-bottom: 20px; }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Scroll horizontal en la barra de navegación(para que se ajuste a los móviles sin afectar el diseño):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css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nav { background: #fff; border-bottom: 2px solid #e0e0e0; display: flex; overflow-x: auto; }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el menú no cabe en pantallas pequeñas, se puede desplazar horizontalmente en vez de romperse.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La única media query explícita del archivo, que apila los campos del formulario en una sola columna en pantallas menores a 480px: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@media (max-width: 480px) {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bookmarkStart w:colFirst="0" w:colLast="0" w:name="_3xsbu0ftm4pr" w:id="0"/>
      <w:bookmarkEnd w:id="0"/>
      <w:r w:rsidDel="00000000" w:rsidR="00000000" w:rsidRPr="00000000">
        <w:rPr>
          <w:sz w:val="20"/>
          <w:szCs w:val="20"/>
          <w:rtl w:val="0"/>
        </w:rPr>
        <w:t xml:space="preserve">  .fila { grid-template-columns: 1fr; }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4536"/>
      </w:tabs>
      <w:spacing w:after="0" w:before="240" w:lineRule="auto"/>
      <w:jc w:val="center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jc w:val="center"/>
    </w:pPr>
    <w:rPr>
      <w:rFonts w:ascii="Times New Roman" w:cs="Times New Roman" w:eastAsia="Times New Roman" w:hAnsi="Times New Roman"/>
      <w:b w:val="1"/>
      <w:bCs w:val="1"/>
      <w:i w:val="1"/>
      <w:iCs w:val="1"/>
      <w:color w:val="0d0d0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e7ccef24-f527-4a34-b524-c0d36fecf29a</vt:lpwstr>
  </property>
</Properties>
</file>