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B8BB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基于多维度数据的老年人群需求与养老资源匹配分析报告</w:t>
      </w:r>
    </w:p>
    <w:p w14:paraId="481468F5">
      <w:pPr>
        <w:pStyle w:val="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项目背景与目的</w:t>
      </w:r>
    </w:p>
    <w:p w14:paraId="4BD265E5">
      <w:pPr>
        <w:pStyle w:val="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</w:t>
      </w:r>
    </w:p>
    <w:p w14:paraId="457335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随着我国人口老龄化进程的持续深化，人口年龄结构发生显著变化。截至 2024 年，我国 60 岁及以上老年人口占比已突破 20%，正式步入中度老龄化社会，养老服务的刚性需求日益凸显。当前我国养老服务体系仍存在两大突出问题：</w:t>
      </w:r>
      <w:r>
        <w:rPr>
          <w:rFonts w:ascii="宋体" w:hAnsi="宋体" w:eastAsia="宋体" w:cs="宋体"/>
          <w:b/>
          <w:bCs/>
          <w:sz w:val="21"/>
          <w:szCs w:val="21"/>
        </w:rPr>
        <w:t>一是区域资源分配不均衡</w:t>
      </w:r>
      <w:r>
        <w:rPr>
          <w:rFonts w:ascii="宋体" w:hAnsi="宋体" w:eastAsia="宋体" w:cs="宋体"/>
          <w:sz w:val="21"/>
          <w:szCs w:val="21"/>
        </w:rPr>
        <w:t>，部分省份因独居老人、失能老人等特殊群体规模较大，养老设施覆盖不足、服务供给短缺的矛盾尤为明显；</w:t>
      </w:r>
      <w:r>
        <w:rPr>
          <w:rFonts w:ascii="宋体" w:hAnsi="宋体" w:eastAsia="宋体" w:cs="宋体"/>
          <w:b/>
          <w:bCs/>
          <w:sz w:val="21"/>
          <w:szCs w:val="21"/>
        </w:rPr>
        <w:t>二是群体需求识别精准度不足</w:t>
      </w:r>
      <w:r>
        <w:rPr>
          <w:rFonts w:ascii="宋体" w:hAnsi="宋体" w:eastAsia="宋体" w:cs="宋体"/>
          <w:sz w:val="21"/>
          <w:szCs w:val="21"/>
        </w:rPr>
        <w:t>，不同婚姻状况、家庭结构的老年群体，在健康照护、生活照料、情感陪伴等方面的需求存在显著差异，但现有服务供给多以 “普惠式” 为主，未能充分适配个性化需求，导致 “供需错配” 现象普遍存在，影响养老服务的实际成效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7BE6705">
      <w:pPr>
        <w:pStyle w:val="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项目目的</w:t>
      </w:r>
    </w:p>
    <w:p w14:paraId="302C36F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识别高需求区域</w:t>
      </w:r>
      <w:r>
        <w:rPr>
          <w:rFonts w:hint="eastAsia"/>
          <w:lang w:val="en-US" w:eastAsia="zh-CN"/>
        </w:rPr>
        <w:t>：通过分析各省老龄人口、老年人居住状况，明确独居养老需求集中的省份，为区域养老资源布局提供依据。</w:t>
      </w:r>
    </w:p>
    <w:p w14:paraId="268DE54C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剖析群体需求差异</w:t>
      </w:r>
      <w:r>
        <w:rPr>
          <w:rFonts w:hint="eastAsia"/>
          <w:lang w:val="en-US" w:eastAsia="zh-CN"/>
        </w:rPr>
        <w:t>：探究婚姻状况对老年健康的影响，细分不同群体的照护需求，实现服务精准供给</w:t>
      </w:r>
    </w:p>
    <w:p w14:paraId="2A908404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评估资源匹配缺口</w:t>
      </w:r>
      <w:r>
        <w:rPr>
          <w:rFonts w:hint="eastAsia"/>
          <w:lang w:val="en-US" w:eastAsia="zh-CN"/>
        </w:rPr>
        <w:t>：</w:t>
      </w:r>
      <w:r>
        <w:rPr>
          <w:rFonts w:ascii="宋体" w:hAnsi="宋体" w:eastAsia="宋体" w:cs="宋体"/>
          <w:sz w:val="21"/>
          <w:szCs w:val="21"/>
        </w:rPr>
        <w:t>结合各省养老机构配置数量与老年人口规模，量化分析养老资源的供需匹配程度，定位资源供给不足的省份，为相关政策调整与资源优化配置提供科学依据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42DF47BB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数据来源与处理</w:t>
      </w:r>
    </w:p>
    <w:p w14:paraId="3230448D"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</w:t>
      </w:r>
    </w:p>
    <w:p w14:paraId="26D0CC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本项目严格筛选 4 类结构化 CSV 数据集，覆盖 “家庭结构 - 健康状况 - 资源分布 - 婚姻特征” 全维度，数据均来源于官方统计渠道，具有权威性、完整性和一致性，具体信息如下</w:t>
      </w:r>
      <w:r>
        <w:rPr>
          <w:rFonts w:hint="eastAsia"/>
          <w:lang w:val="en-US" w:eastAsia="zh-CN"/>
        </w:rPr>
        <w:t>：</w:t>
      </w:r>
    </w:p>
    <w:tbl>
      <w:tblPr>
        <w:tblStyle w:val="12"/>
        <w:tblW w:w="9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736"/>
        <w:gridCol w:w="2376"/>
        <w:gridCol w:w="1957"/>
      </w:tblGrid>
      <w:tr w14:paraId="606F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16" w:type="dxa"/>
            <w:vAlign w:val="center"/>
          </w:tcPr>
          <w:p w14:paraId="023E03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数据类别</w:t>
            </w:r>
          </w:p>
        </w:tc>
        <w:tc>
          <w:tcPr>
            <w:tcW w:w="2736" w:type="dxa"/>
            <w:vAlign w:val="center"/>
          </w:tcPr>
          <w:p w14:paraId="751478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数据类别数据集名称</w:t>
            </w:r>
          </w:p>
        </w:tc>
        <w:tc>
          <w:tcPr>
            <w:tcW w:w="2376" w:type="dxa"/>
            <w:vAlign w:val="center"/>
          </w:tcPr>
          <w:p w14:paraId="581B8E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核心字段</w:t>
            </w:r>
          </w:p>
        </w:tc>
        <w:tc>
          <w:tcPr>
            <w:tcW w:w="1957" w:type="dxa"/>
            <w:vAlign w:val="center"/>
          </w:tcPr>
          <w:p w14:paraId="1BFE12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数据规模</w:t>
            </w:r>
          </w:p>
        </w:tc>
      </w:tr>
      <w:tr w14:paraId="286C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vAlign w:val="center"/>
          </w:tcPr>
          <w:p w14:paraId="537818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家庭结构数据</w:t>
            </w:r>
          </w:p>
        </w:tc>
        <w:tc>
          <w:tcPr>
            <w:tcW w:w="2736" w:type="dxa"/>
            <w:vAlign w:val="center"/>
          </w:tcPr>
          <w:p w14:paraId="27882D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《各地区有 65 岁及以上老年人口的家庭户户数.csv》</w:t>
            </w:r>
          </w:p>
        </w:tc>
        <w:tc>
          <w:tcPr>
            <w:tcW w:w="2376" w:type="dxa"/>
            <w:vAlign w:val="center"/>
          </w:tcPr>
          <w:p w14:paraId="4468D6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地区、单身老人户、家庭户总数</w:t>
            </w:r>
          </w:p>
        </w:tc>
        <w:tc>
          <w:tcPr>
            <w:tcW w:w="1957" w:type="dxa"/>
            <w:vAlign w:val="center"/>
          </w:tcPr>
          <w:p w14:paraId="4CF59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31 个省份（不含全国汇总行）</w:t>
            </w:r>
          </w:p>
        </w:tc>
      </w:tr>
      <w:tr w14:paraId="1F1F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vAlign w:val="center"/>
          </w:tcPr>
          <w:p w14:paraId="025C7F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健康状况数据</w:t>
            </w:r>
          </w:p>
        </w:tc>
        <w:tc>
          <w:tcPr>
            <w:tcW w:w="2736" w:type="dxa"/>
            <w:vAlign w:val="center"/>
          </w:tcPr>
          <w:p w14:paraId="760C39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《各省老年人人数及健康情况.csv》</w:t>
            </w:r>
          </w:p>
        </w:tc>
        <w:tc>
          <w:tcPr>
            <w:tcW w:w="2376" w:type="dxa"/>
            <w:vAlign w:val="center"/>
          </w:tcPr>
          <w:p w14:paraId="13327C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地区、60 岁及以上人口总数、生活不能自理人数（分性别）</w:t>
            </w:r>
          </w:p>
        </w:tc>
        <w:tc>
          <w:tcPr>
            <w:tcW w:w="1957" w:type="dxa"/>
            <w:vAlign w:val="center"/>
          </w:tcPr>
          <w:p w14:paraId="0F64C9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31 个省份</w:t>
            </w:r>
          </w:p>
        </w:tc>
      </w:tr>
      <w:tr w14:paraId="6707D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vAlign w:val="center"/>
          </w:tcPr>
          <w:p w14:paraId="38E6F4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养老资源数据</w:t>
            </w:r>
          </w:p>
        </w:tc>
        <w:tc>
          <w:tcPr>
            <w:tcW w:w="2736" w:type="dxa"/>
            <w:vAlign w:val="center"/>
          </w:tcPr>
          <w:p w14:paraId="71DDA5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《各省养老资源.csv》</w:t>
            </w:r>
          </w:p>
        </w:tc>
        <w:tc>
          <w:tcPr>
            <w:tcW w:w="2376" w:type="dxa"/>
            <w:vAlign w:val="center"/>
          </w:tcPr>
          <w:p w14:paraId="2AC5D0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地区、养老机构数、老年助餐点数</w:t>
            </w:r>
          </w:p>
        </w:tc>
        <w:tc>
          <w:tcPr>
            <w:tcW w:w="1957" w:type="dxa"/>
            <w:vAlign w:val="center"/>
          </w:tcPr>
          <w:p w14:paraId="551E8D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31 个省份</w:t>
            </w:r>
          </w:p>
        </w:tc>
      </w:tr>
      <w:tr w14:paraId="168E6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6" w:type="dxa"/>
            <w:vAlign w:val="center"/>
          </w:tcPr>
          <w:p w14:paraId="62C682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婚姻与健康数据</w:t>
            </w:r>
          </w:p>
        </w:tc>
        <w:tc>
          <w:tcPr>
            <w:tcW w:w="2736" w:type="dxa"/>
            <w:vAlign w:val="center"/>
          </w:tcPr>
          <w:p w14:paraId="405F29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《全国分性别、婚姻状况、健康状况的 60 岁及以上老年人口.csv》</w:t>
            </w:r>
          </w:p>
        </w:tc>
        <w:tc>
          <w:tcPr>
            <w:tcW w:w="2376" w:type="dxa"/>
            <w:vAlign w:val="center"/>
          </w:tcPr>
          <w:p w14:paraId="334623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婚姻状况、健康人数（分性别）、生活不能自理人数（分性别）</w:t>
            </w:r>
          </w:p>
        </w:tc>
        <w:tc>
          <w:tcPr>
            <w:tcW w:w="1957" w:type="dxa"/>
            <w:vAlign w:val="center"/>
          </w:tcPr>
          <w:p w14:paraId="2258E2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 类婚姻状况（有配偶、丧偶、未婚、离婚）</w:t>
            </w:r>
          </w:p>
        </w:tc>
      </w:tr>
    </w:tbl>
    <w:p w14:paraId="72F95CE2">
      <w:pPr>
        <w:pStyle w:val="7"/>
        <w:bidi w:val="0"/>
        <w:rPr>
          <w:rFonts w:hint="default"/>
          <w:lang w:val="en-US" w:eastAsia="zh-CN"/>
        </w:rPr>
      </w:pPr>
    </w:p>
    <w:p w14:paraId="56C56B20">
      <w:pPr>
        <w:pStyle w:val="7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</w:t>
      </w:r>
    </w:p>
    <w:p w14:paraId="1BAB7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确保分析结果的准确性与可靠性，本项目遵循 “清洗 - 衍生 - 关联” 的标准化数据处理流程，具体操作如下：</w:t>
      </w:r>
    </w:p>
    <w:p w14:paraId="11881D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数据清洗与筛选：借助 </w:t>
      </w:r>
      <w:r>
        <w:rPr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SQLite 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数据库工具对原始数据进行规范化处理，确保数据样本严格包含官方统计的 31 个省份核心信息，剔除 “全国”“总计” 等汇总行，避免干扰省级维度分析；针对数据中存在的空值与异常值，采用 “同省份同指标均值填补”“异常值剔除” 等方法进行处理，保障数据质量。</w:t>
      </w:r>
    </w:p>
    <w:p w14:paraId="326EF3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color w:val="000000"/>
          <w:sz w:val="21"/>
          <w:szCs w:val="21"/>
        </w:rPr>
      </w:pPr>
    </w:p>
    <w:p w14:paraId="2786F4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核心指标衍生：运用 </w:t>
      </w:r>
      <w:r>
        <w:rPr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Python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编程语言，基于原始数据计算 3 个关键分析指标，确保分析维度的深度与针对性：</w:t>
      </w:r>
    </w:p>
    <w:p w14:paraId="6D98A8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1" w:leftChars="29" w:right="0" w:rightChars="0" w:firstLine="0" w:firstLineChars="0"/>
        <w:jc w:val="left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单身户占比</w:t>
      </w:r>
      <w:r>
        <w:rPr>
          <w:color w:val="000000"/>
          <w:sz w:val="21"/>
          <w:szCs w:val="21"/>
        </w:rPr>
        <w:t>：计算公式为 “单身户占比（%）=（单身老人户 / 家庭户总数）×100%”，用于衡量各省独居老年群体的规模占比；</w:t>
      </w:r>
    </w:p>
    <w:p w14:paraId="619F81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1" w:leftChars="29" w:right="0" w:rightChars="0" w:firstLine="0" w:firstLineChars="0"/>
        <w:jc w:val="left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不能自理占比</w:t>
      </w:r>
      <w:r>
        <w:rPr>
          <w:color w:val="000000"/>
          <w:sz w:val="21"/>
          <w:szCs w:val="21"/>
        </w:rPr>
        <w:t>：计算公式为 “</w:t>
      </w:r>
      <w:r>
        <w:rPr>
          <w:rFonts w:hint="eastAsia"/>
          <w:color w:val="000000"/>
          <w:sz w:val="21"/>
          <w:szCs w:val="21"/>
          <w:lang w:val="en-US" w:eastAsia="zh-CN"/>
        </w:rPr>
        <w:t>失能</w:t>
      </w:r>
      <w:r>
        <w:rPr>
          <w:color w:val="000000"/>
          <w:sz w:val="21"/>
          <w:szCs w:val="21"/>
        </w:rPr>
        <w:t>占比（%）=（不能自理总人数 / 60 岁及以上总人口）×100%”，用于量化各省老年群体的失能风险水平；</w:t>
      </w:r>
    </w:p>
    <w:p w14:paraId="3B18AD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1" w:leftChars="29" w:right="0" w:rightChars="0" w:firstLine="0" w:firstLineChars="0"/>
        <w:jc w:val="left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每万老人机构数</w:t>
      </w:r>
      <w:r>
        <w:rPr>
          <w:color w:val="000000"/>
          <w:sz w:val="21"/>
          <w:szCs w:val="21"/>
        </w:rPr>
        <w:t>：计算公式为 “每万老人机构数（个 / 万人）=（养老机构数 / 60 岁及以上总人口）×10000”，用于评估各省养老资源的人均配置效率。</w:t>
      </w:r>
    </w:p>
    <w:p w14:paraId="0457F8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1" w:leftChars="29" w:right="0" w:rightChars="0" w:firstLine="0" w:firstLineChars="0"/>
        <w:jc w:val="left"/>
        <w:rPr>
          <w:color w:val="000000"/>
          <w:sz w:val="21"/>
          <w:szCs w:val="21"/>
        </w:rPr>
      </w:pPr>
    </w:p>
    <w:p w14:paraId="407A57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数据标准化与关联：通过 </w:t>
      </w:r>
      <w:r>
        <w:rPr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Excel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工具对各数据集的字段格式进行统一标准化处理（如统一地区名称表述、规范数值单位），确保跨数据集关联的一致性；以 “地区” 作为核心关联关键字，实现家庭结构数据、健康状况数据、养老资源数据的横向关联，形成涵盖 “区域 - 人口 - 健康 - 资源” 的多维度综合分析数据集，为后续交叉分析提供</w:t>
      </w:r>
    </w:p>
    <w:p w14:paraId="62E77E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0F09FB3">
      <w:pPr>
        <w:rPr>
          <w:rFonts w:hint="eastAsia"/>
          <w:lang w:val="en-US" w:eastAsia="zh-CN"/>
        </w:rPr>
      </w:pPr>
    </w:p>
    <w:p w14:paraId="47B4E304">
      <w:pPr>
        <w:pStyle w:val="5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核心分析结果</w:t>
      </w:r>
    </w:p>
    <w:p w14:paraId="3980D660">
      <w:pPr>
        <w:pStyle w:val="7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通过各省老年人口对普遍的养老压力分析</w:t>
      </w:r>
    </w:p>
    <w:p w14:paraId="475948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研究利用4个CSV原始数据集，创建“各省老年人口基数（万计）”、“各省65岁及以上老年人口单身家庭户占比TOP10”，“全国各省60岁及以上老年人不能自理占比（单位：%）”三张柱状图，对全国范围内的老龄人口分布和其对应的养老压力进行了宏观分析</w:t>
      </w:r>
    </w:p>
    <w:p w14:paraId="64E1FF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754120"/>
            <wp:effectExtent l="0" t="0" r="5715" b="5080"/>
            <wp:docPr id="1" name="图片 1" descr="elderly_population_by_provi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lderly_population_by_provin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9A12">
      <w:pPr>
        <w:numPr>
          <w:ilvl w:val="0"/>
          <w:numId w:val="0"/>
        </w:numPr>
        <w:jc w:val="center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全国各省60岁及以上老年人口总数（单位：万人）</w:t>
      </w:r>
    </w:p>
    <w:p w14:paraId="4541B04E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从图表数据可见，我国老年人口规模呈现显著的区域不均衡特征：</w:t>
      </w:r>
    </w:p>
    <w:p w14:paraId="6836943A">
      <w:pPr>
        <w:numPr>
          <w:ilvl w:val="0"/>
          <w:numId w:val="7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核心压力区集中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：四川（146 万）、山东（140 万）、江苏（125 万）、河南（120 万）作为传统人口大省，老年人口总量率先突破千万级，反映出老年人口规模与区域人口基数的强相关性，这些省份的养老服务总量需求巨大，是全国养老服务保障的 “核心压力区”；</w:t>
      </w:r>
    </w:p>
    <w:p w14:paraId="644B98E1">
      <w:pPr>
        <w:numPr>
          <w:ilvl w:val="0"/>
          <w:numId w:val="7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低压力区分布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：西藏（2 万）、青海（5 万）、宁夏（6 万）等西部省份，由于人口基数小，老年人口总量均不足 10 万，养老服务的总量压力相对较小，符合当地客观发展实际；</w:t>
      </w:r>
    </w:p>
    <w:p w14:paraId="186F118A">
      <w:pPr>
        <w:numPr>
          <w:ilvl w:val="0"/>
          <w:numId w:val="7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区域差距悬殊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：老年人口规模最大的四川（146 万）与最小的西藏（2 万）差距达 73 倍，意味着不同省份对养老资源的总量需求存在天壤之别，为后续区域差异化资源配置提供了重要依据。</w:t>
      </w:r>
    </w:p>
    <w:p w14:paraId="72EB4415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仅通过老年人口规模无法全面评估各省养老压力，因此本研究进一步结合养老机构配置数据，补充了人均资源适配性分析。</w:t>
      </w:r>
    </w:p>
    <w:p w14:paraId="561BEE78">
      <w:pPr>
        <w:pStyle w:val="7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对各地区的每万老人拥有养老机构数的差异分析</w:t>
      </w:r>
    </w:p>
    <w:p w14:paraId="41D68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为精准评估养老资源的配置效率，本研究通过 “每万老人机构数” 指标，构建对应的柱状图，分析各省养老资源的人均适配情况：</w:t>
      </w:r>
    </w:p>
    <w:p w14:paraId="4B3F9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3746500"/>
            <wp:effectExtent l="0" t="0" r="8255" b="0"/>
            <wp:docPr id="2" name="图片 2" descr="institution_per_10k_elder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nstitution_per_10k_elderl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485F">
      <w:pPr>
        <w:jc w:val="center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全国各省每万60岁及以上老人拥有养老机构数</w:t>
      </w:r>
    </w:p>
    <w:p w14:paraId="6FA5D3FF"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从分析结果来看，我国养老资源配置呈现显著的区域失衡特征，核心结论如下：</w:t>
      </w:r>
    </w:p>
    <w:p w14:paraId="1FB20AD5">
      <w:pPr>
        <w:numPr>
          <w:ilvl w:val="0"/>
          <w:numId w:val="8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资源充足省份集中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：重庆（73.67 个 / 万人）、天津（63.61 个 / 万人）、青海（56.98 个 / 万人）等省份的每万老人机构数远超全国平均水平，养老资源人均配置充足；</w:t>
      </w:r>
    </w:p>
    <w:p w14:paraId="2D4DFE32">
      <w:pPr>
        <w:numPr>
          <w:ilvl w:val="0"/>
          <w:numId w:val="8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资源缺口省份突出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：甘肃（9.75 个 / 万人）、海南（15.50 个 / 万人）、广东（15.69 个 / 万人）等省份的每万老人机构数显著偏低，其中甘肃不足 10 个 / 万人，养老资源供给紧张；</w:t>
      </w:r>
    </w:p>
    <w:p w14:paraId="06FC0B65">
      <w:pPr>
        <w:numPr>
          <w:ilvl w:val="0"/>
          <w:numId w:val="8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资源配置与人口规模无直接关联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：重庆、青海、北京等老年人口规模较小的省份，人均养老机构配置反而更高；而四川（22.39 个 / 万人）、山东（18.70 个 / 万人）、河北（22.03 个 / 万人）等老年人口大省，每万老人机构数仅处于中等水平，人均资源配置不占优，结合其庞大的老年人口基数，养老机构的 “绝对供给” 难以充分覆盖需求；</w:t>
      </w:r>
    </w:p>
    <w:p w14:paraId="584A5589">
      <w:pPr>
        <w:numPr>
          <w:ilvl w:val="0"/>
          <w:numId w:val="8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发达省份配置不足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：值得关注的是，江苏作为东部沿海发达省份，每万老人机构数仅为 17.90 个 / 万人，排名全国倒数第六，与当地经济发展水平和老年人口需求不相匹配。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结合其社区养老机构和设施数量（21150）排名全国第6和此省近年对于养老产业的高度重视，不难推导出这是政府有意识地引导公共养老产业发展，推动社区化微型养老空间建设。</w:t>
      </w:r>
    </w:p>
    <w:p w14:paraId="48D17CAC">
      <w:pPr>
        <w:pStyle w:val="7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对全国、地区老年人口婚姻、居住与健康状况关联分析</w:t>
      </w:r>
    </w:p>
    <w:p w14:paraId="47BFA1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2A9E9B">
      <w:pPr>
        <w:rPr>
          <w:rFonts w:hint="default"/>
          <w:lang w:val="en-US" w:eastAsia="zh-CN"/>
        </w:rPr>
      </w:pPr>
    </w:p>
    <w:p w14:paraId="4D875A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954780"/>
            <wp:effectExtent l="0" t="0" r="10160" b="7620"/>
            <wp:docPr id="3" name="图片 3" descr="marriage_health_relation_optim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arriage_health_relation_optimiz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6080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b/>
          <w:bCs/>
          <w:sz w:val="15"/>
          <w:szCs w:val="15"/>
        </w:rPr>
      </w:pPr>
      <w:r>
        <w:rPr>
          <w:rFonts w:ascii="宋体" w:hAnsi="宋体" w:eastAsia="宋体" w:cs="宋体"/>
          <w:b/>
          <w:bCs/>
          <w:sz w:val="15"/>
          <w:szCs w:val="15"/>
        </w:rPr>
        <w:t>全国 60 岁及以上老年人口婚姻状况与健康状况关联</w:t>
      </w:r>
    </w:p>
    <w:p w14:paraId="6366716E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从图表数据可清晰看出，婚姻状况与老年健康水平存在显著关联：</w:t>
      </w:r>
    </w:p>
    <w:p w14:paraId="431B1F28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婚姻陪伴的正向作用显著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：有配偶老人的健康人数（616.3 万）远高于其他婚姻状况群体，且在健康人数总量最大的情况下，不能自理人数（24.5 万）仅占该群体总数的约 4%，失能风险最低，充分说明婚姻陪伴对老年健康具有积极的保护作用；</w:t>
      </w:r>
    </w:p>
    <w:p w14:paraId="44FD63AF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丧偶群体为照护重点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：丧偶老人的不能自理人数（25.9 万）与有配偶老人接近，但健康人数仅为 140.9 万，不能自理占比约 18.4%，是有配偶群体的 4.5 倍，是失能照护的核心重点群体；</w:t>
      </w:r>
    </w:p>
    <w:p w14:paraId="14F152F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特殊群体需求不可忽视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：未婚、离婚老人的健康人数规模虽小，但不能自理占比分别约为 12.5%、4.8%，仍高于有配偶群体，其照护需求需得到针对性关注。</w:t>
      </w:r>
    </w:p>
    <w:p w14:paraId="2CAEB87C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2245" cy="3747770"/>
            <wp:effectExtent l="0" t="0" r="8255" b="11430"/>
            <wp:docPr id="5" name="图片 5" descr="unable_self_care_ratio_by_provi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nable_self_care_ratio_by_provin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E37E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b/>
          <w:bCs/>
          <w:sz w:val="15"/>
          <w:szCs w:val="15"/>
        </w:rPr>
      </w:pPr>
      <w:r>
        <w:rPr>
          <w:rFonts w:ascii="宋体" w:hAnsi="宋体" w:eastAsia="宋体" w:cs="宋体"/>
          <w:b/>
          <w:bCs/>
          <w:sz w:val="15"/>
          <w:szCs w:val="15"/>
        </w:rPr>
        <w:t>全国各省 60 岁及以上老年人不能自理占比</w:t>
      </w:r>
    </w:p>
    <w:p w14:paraId="1276A94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分析结果显示，各省老年人口失能风险呈现明显的区域差异：</w:t>
      </w:r>
    </w:p>
    <w:p w14:paraId="1E5530E3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高失能风险区域集中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：前 7 名中，西藏（5.45%）、云南（3.90%）、青海（3.68%）3 个为西部省份，可能与当地老年人口基数小、医疗资源可及性相对较低有关；北京（4.43%）、上海（3.71%）、天津（3.63%）3 个为直辖市，虽医疗资源丰富，但失能老人存活率较高，导致占比偏高；</w:t>
      </w:r>
    </w:p>
    <w:p w14:paraId="4F8EC2BE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区域差距显著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：最高失能占比的西藏（5.45%）是最低的广东（1.80%）的 3 倍以上，体现出我国省级老年失能风险的不均衡性，为区域差异化照护资源配置提供了依据。</w:t>
      </w:r>
    </w:p>
    <w:p w14:paraId="12818FA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2633345"/>
            <wp:effectExtent l="0" t="0" r="3810" b="8255"/>
            <wp:docPr id="4" name="图片 4" descr="single_household_top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ingle_household_top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D943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b/>
          <w:bCs/>
          <w:sz w:val="15"/>
          <w:szCs w:val="15"/>
        </w:rPr>
      </w:pPr>
      <w:r>
        <w:rPr>
          <w:rFonts w:ascii="宋体" w:hAnsi="宋体" w:eastAsia="宋体" w:cs="宋体"/>
          <w:b/>
          <w:bCs/>
          <w:sz w:val="15"/>
          <w:szCs w:val="15"/>
        </w:rPr>
        <w:t>各省 65 岁及以上老年人口单身家庭户占比 TOP10</w:t>
      </w:r>
    </w:p>
    <w:p w14:paraId="38EA4093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从区域分布来看：</w:t>
      </w:r>
    </w:p>
    <w:p w14:paraId="0314512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高独居需求省份集中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：浙江以 25% 的单身家庭户占比位居第一，山东、重庆分别以约 22%、20% 位列前三，这些省份的独居老年人群规模大，独居养老需求迫切；</w:t>
      </w:r>
    </w:p>
    <w:p w14:paraId="58CBC3E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区域分布无明显规律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：东、中、西三部省份均有进入 TOP10，说明独居需求受人口结构、居住习惯、家庭观念等多重因素影响，与区域经济发展水平无绝对关联，需结合当地实际情况制定独居养老服务政策。</w:t>
      </w:r>
    </w:p>
    <w:p w14:paraId="53562A81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2BB69064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结合上述三张图表分析，可形成 “婚姻状况 - 居住结构 - 健康风险” 的三重关联逻辑：</w:t>
      </w:r>
    </w:p>
    <w:p w14:paraId="50D7DDF8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婚姻状况决定基础健康风险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：丧偶、未婚老人的失能风险显著高于有配偶老人，是照护需求的核心群体；</w:t>
      </w:r>
    </w:p>
    <w:p w14:paraId="6850D3FD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居住结构放大风险程度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：单身家庭户占比高的省份，独居老人规模大，若叠加丧偶、未婚的高失能风险，会形成 “独居 + 失能” 的双重脆弱性，进一步推高养老服务需求；</w:t>
      </w:r>
    </w:p>
    <w:p w14:paraId="0175606A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区域特征聚焦需求压力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：当 “高失能占比”“高单身家庭户占比” 同时集中于某一省份（如北京、重庆），该省份的养老服务压力会显著增加，需重点优化资源配置与服务供给。</w:t>
      </w:r>
    </w:p>
    <w:p w14:paraId="6498180C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425E624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综上，我国养老服务体系呈现 “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区域压力分化、资源配置失衡、群体需求多元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” 的核心特征：核心人口大省面临 “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总量需求大 + 人均资源少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” 的双重压力，西部省份存在 “</w:t>
      </w: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小众刚需 + 资源分散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” 的局部矛盾，而丧偶、独居等特殊群体的照护需求尚未被充分满足。基于上述数据分析揭示的供需错配问题，下文从区域资源配置、群体精准服务、政策机制创新三个维度，提出针对性优化建议，推动养老服务从 “普惠覆盖” 向 “精准适配” 转型。</w:t>
      </w:r>
    </w:p>
    <w:p w14:paraId="194527B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四、基于数据分析的养老服务优化建议</w:t>
      </w:r>
    </w:p>
    <w:p w14:paraId="36430022">
      <w:pPr>
        <w:pStyle w:val="7"/>
        <w:numPr>
          <w:ilvl w:val="0"/>
          <w:numId w:val="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区域资源配置优化</w:t>
      </w:r>
    </w:p>
    <w:p w14:paraId="57F083B2"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高需求省份优先补充养老机构总量</w:t>
      </w:r>
      <w:r>
        <w:rPr>
          <w:rFonts w:hint="eastAsia"/>
          <w:lang w:val="en-US" w:eastAsia="zh-CN"/>
        </w:rPr>
        <w:t>：对“老年人口基数大 + 失能占比高 + 资源不足”的省份，按“每万老人标准化配给机构”标准新增养老机构，重点配置失能照护床位。</w:t>
      </w:r>
    </w:p>
    <w:p w14:paraId="5842E0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：四川（老年人口146万，失能占比3.31%，每万老人机构数22.30）、山东（老年人口140万，失能占比2.68%，每万老人机构数19.70），这些省份失能老人绝对数量大，但明显养老机构人均配置不足，总量需求迫切。</w:t>
      </w:r>
    </w:p>
    <w:p w14:paraId="07E331B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067F6B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资源冗余地区推动功能转型与跨区域共享</w:t>
      </w:r>
      <w:r>
        <w:rPr>
          <w:rFonts w:hint="eastAsia"/>
          <w:lang w:val="en-US" w:eastAsia="zh-CN"/>
        </w:rPr>
        <w:t>：对“资源充足 + 失能占比中等”的省份，推动部分“泛功能”养老机构转型为“老龄专项照护”；同时建立跨区域资源共享机制，向周边资源缺口省份输出护理人员、照护标准与服务经验，提升全国养老资源的整体利用效率。</w:t>
      </w:r>
    </w:p>
    <w:p w14:paraId="355982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：重庆（每万老人机构数73.97，失能占比3.12%）、天津（每万老人机构数64.61，失能占比3.63%），养老资源充足，但专项如失能照护功能不足，具备转型与共享的基础。</w:t>
      </w:r>
    </w:p>
    <w:p w14:paraId="7DF0EB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C0DBCD">
      <w:pPr>
        <w:numPr>
          <w:ilvl w:val="0"/>
          <w:numId w:val="10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低基数高风险地区聚焦精准覆盖：</w:t>
      </w:r>
      <w:r>
        <w:rPr>
          <w:rFonts w:hint="eastAsia"/>
          <w:b w:val="0"/>
          <w:bCs w:val="0"/>
          <w:lang w:val="en-US" w:eastAsia="zh-CN"/>
        </w:rPr>
        <w:t>对“老年人口基数小 + 失能占比高”的地区，无需大规模新建养老机构，重点布局小型化、嵌入式社区养老服务站，配套智能监护设备，精准覆盖独具失能老人的紧急需求与日常照护需求。</w:t>
      </w:r>
    </w:p>
    <w:p w14:paraId="7E0DAC4F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b w:val="0"/>
          <w:bCs w:val="0"/>
          <w:lang w:val="en-US" w:eastAsia="zh-CN"/>
        </w:rPr>
        <w:t>：西藏（老年人口 2 万，失能占比 5.45%，每万老人机构数 46.09）、云南（老年人口 51 万，失能占比 3.90%，每万老人机构数 16.15）、北京（老年人口 25 万，失能占比 4.43%，每万老人机构数 50.30），这些省份失能风险高但资源布局分散，精准化、小型化服务更贴合实际需求。</w:t>
      </w:r>
    </w:p>
    <w:p w14:paraId="53519F34">
      <w:pPr>
        <w:pStyle w:val="7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群体精准服务</w:t>
      </w:r>
    </w:p>
    <w:p w14:paraId="0F1EEADE">
      <w:pPr>
        <w:numPr>
          <w:ilvl w:val="0"/>
          <w:numId w:val="11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b/>
          <w:bCs/>
          <w:lang w:val="en-US" w:eastAsia="zh-CN"/>
        </w:rPr>
        <w:t>单身家庭户高占比地区强化独居照护</w:t>
      </w:r>
      <w:r>
        <w:rPr>
          <w:rFonts w:hint="eastAsia"/>
          <w:lang w:val="en-US" w:eastAsia="zh-CN"/>
        </w:rPr>
        <w:t>：对高占比单身家庭户地区推广相应单身照护产品，由社区工作人员定期上门护理，并配置紧急呼叫设备，建立 24 小时应急响应机制，防范独居老人意外风险。</w:t>
      </w:r>
    </w:p>
    <w:p w14:paraId="25C04D62">
      <w:pPr>
        <w:numPr>
          <w:ilvl w:val="0"/>
          <w:numId w:val="11"/>
        </w:numPr>
        <w:ind w:leftChars="0"/>
        <w:rPr>
          <w:rFonts w:ascii="宋体" w:hAnsi="宋体" w:eastAsia="宋体" w:cs="宋体"/>
          <w:sz w:val="21"/>
          <w:szCs w:val="21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：浙江（单身户占比25%）、山东（约22%）、重庆（约20%），这些省份独居老人规模大，</w:t>
      </w:r>
      <w:r>
        <w:rPr>
          <w:rFonts w:ascii="宋体" w:hAnsi="宋体" w:eastAsia="宋体" w:cs="宋体"/>
          <w:sz w:val="21"/>
          <w:szCs w:val="21"/>
        </w:rPr>
        <w:t>叠加丧偶群体高失能风险，居家照护需求迫切。</w:t>
      </w:r>
    </w:p>
    <w:p w14:paraId="33C1E360"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</w:p>
    <w:p w14:paraId="592BD77D">
      <w:pPr>
        <w:numPr>
          <w:ilvl w:val="0"/>
          <w:numId w:val="11"/>
        </w:numPr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低失能占比地区布局预防性健康服务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：对低失能地区重点开展开展老年健康管理、运动康复、慢性病预防等预防性服务，通过建立老年健康档案、组织健康知识讲座、建设社区健身设施等方式，延缓老年群体失能进程，降低未来照护压力。</w:t>
      </w:r>
    </w:p>
    <w:p w14:paraId="55354F2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示例地区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：广东（失能占比1.8%）、福建（2.00%）、江西（2.16%），这些省份老年群体健康水平较高，预防干预投入性价比更高</w:t>
      </w:r>
    </w:p>
    <w:p w14:paraId="4FF410A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6AF4CE72">
      <w:pPr>
        <w:pStyle w:val="7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政策机制创新</w:t>
      </w:r>
    </w:p>
    <w:p w14:paraId="087EF3C2"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搭建养老需求动态监测平台</w:t>
      </w:r>
      <w:r>
        <w:rPr>
          <w:rFonts w:hint="eastAsia"/>
          <w:lang w:val="en-US" w:eastAsia="zh-CN"/>
        </w:rPr>
        <w:t>：整合“老年人口基数 - 失能占比 - 独居占比 - 资源配置”核心数据，建立省级养老需求与资源配置动态监测数据库，设置供需错配预警阈值，实现对养老服务供需变化的实时跟踪与预警，为政策调整提供数据支撑。</w:t>
      </w:r>
    </w:p>
    <w:p w14:paraId="59A34B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：全国所有省份（优先在浙江、四川、海南等供需矛盾较为突出的省份开展试点，积累经验后逐步推广）。</w:t>
      </w:r>
    </w:p>
    <w:p w14:paraId="009AAC5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EDE777B"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推行“跨区域资源联动”试点</w:t>
      </w:r>
      <w:r>
        <w:rPr>
          <w:rFonts w:hint="eastAsia"/>
          <w:lang w:val="en-US" w:eastAsia="zh-CN"/>
        </w:rPr>
        <w:t>：基于养老资源配置的区域失衡数据，推动资源充足省份与资源缺口省份建立结对帮扶机制，提高资源利用效率，打破区域壁垒，提升全国养老资源的整体利用效率。</w:t>
      </w:r>
    </w:p>
    <w:p w14:paraId="0FB327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：海南（每万老人机构数15.50）、西藏（46.09）与重庆（73.67）、天津（63.67）结对，通过资源互补缓解缺口压力。</w:t>
      </w:r>
    </w:p>
    <w:p w14:paraId="40DB0B6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D44756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差异化照护补贴政策</w:t>
      </w:r>
      <w:r>
        <w:rPr>
          <w:rFonts w:hint="eastAsia"/>
          <w:lang w:val="en-US" w:eastAsia="zh-CN"/>
        </w:rPr>
        <w:t>：实施“独居 + 失能 + 丧偶”三维评定补贴标准，给予不同分类老人不同比例的照护补贴，减轻家庭负担。</w:t>
      </w:r>
    </w:p>
    <w:p w14:paraId="2ADB75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示例地区</w:t>
      </w:r>
      <w:r>
        <w:rPr>
          <w:rFonts w:hint="eastAsia"/>
          <w:lang w:val="en-US" w:eastAsia="zh-CN"/>
        </w:rPr>
        <w:t>：浙江、北京、四川、山东等 “高风险群体规模较大” 的省份，率先推行后形成可复制的政策经验。</w:t>
      </w:r>
    </w:p>
    <w:p w14:paraId="2512B0F9">
      <w:pPr>
        <w:pStyle w:val="5"/>
        <w:numPr>
          <w:ilvl w:val="0"/>
          <w:numId w:val="0"/>
        </w:numPr>
        <w:bidi w:val="0"/>
        <w:ind w:left="0" w:leftChars="0" w:firstLine="0" w:firstLineChars="0"/>
        <w:rPr>
          <w:rFonts w:hint="eastAsia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五</w:t>
      </w:r>
      <w:r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  <w:t>、</w:t>
      </w: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排名的加权模型设计与K-means聚类法养老投资分析</w:t>
      </w:r>
    </w:p>
    <w:p w14:paraId="45A70E8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前述优化建议基于多维度数据分析揭示的区域差异、群体特征与资源缺口，为养老服务体系完善提供了宏观方向。但在实际资源配置与产业投资中，仍需解决两大核心问题：</w:t>
      </w:r>
      <w:r>
        <w:rPr>
          <w:rFonts w:hint="eastAsia"/>
          <w:b/>
          <w:bCs/>
          <w:lang w:val="en-US" w:eastAsia="zh-CN"/>
        </w:rPr>
        <w:t>一是如何量化不同省份的养老需求优先级，确保资源向 “刚需最迫切、覆盖效率最高” 的区域集中；二是如何精准识别不同地区的需求类型（如侧重专业护理还是居家服务），避免投资与实际需求脱节。</w:t>
      </w:r>
    </w:p>
    <w:p w14:paraId="2D9F9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基于此，本章通过</w:t>
      </w:r>
      <w:r>
        <w:rPr>
          <w:rFonts w:hint="eastAsia"/>
          <w:b/>
          <w:bCs/>
          <w:lang w:val="en-US" w:eastAsia="zh-CN"/>
        </w:rPr>
        <w:t>构建加权模型实现养老需求的量化排名</w:t>
      </w:r>
      <w:r>
        <w:rPr>
          <w:rFonts w:hint="eastAsia"/>
          <w:lang w:val="en-US" w:eastAsia="zh-CN"/>
        </w:rPr>
        <w:t>，同时</w:t>
      </w:r>
      <w:r>
        <w:rPr>
          <w:rFonts w:hint="eastAsia"/>
          <w:b/>
          <w:bCs/>
          <w:lang w:val="en-US" w:eastAsia="zh-CN"/>
        </w:rPr>
        <w:t>借助 K-means 聚类挖掘区域需求的差异化特征</w:t>
      </w:r>
      <w:r>
        <w:rPr>
          <w:rFonts w:hint="eastAsia"/>
          <w:lang w:val="en-US" w:eastAsia="zh-CN"/>
        </w:rPr>
        <w:t>，从 “优先级排序” 和 “需求画像” 两个维度，为政府政策制定与社会资本投资提供更精准、可落地的决策依据，推动养老服务从 “宏观优化” 向 “精准施策” 深化。</w:t>
      </w:r>
    </w:p>
    <w:p w14:paraId="7ED6EE2C">
      <w:pPr>
        <w:rPr>
          <w:rFonts w:hint="eastAsia"/>
          <w:lang w:val="en-US" w:eastAsia="zh-CN"/>
        </w:rPr>
      </w:pPr>
    </w:p>
    <w:p w14:paraId="5A753AE5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（一）加权模型设计：从“单一指标”到“多维度综合评估”</w:t>
      </w:r>
    </w:p>
    <w:p w14:paraId="79ADC12A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1.模型设计背景与目标</w:t>
      </w:r>
    </w:p>
    <w:p w14:paraId="5881A6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传统养老需求评估多依赖 “单一指标”，易导致 “重规模轻刚需” 的决策偏差。本</w:t>
      </w:r>
      <w:r>
        <w:rPr>
          <w:rFonts w:hint="eastAsia"/>
          <w:lang w:val="en-US" w:eastAsia="zh-CN"/>
        </w:rPr>
        <w:t>研究利用</w:t>
      </w:r>
      <w:r>
        <w:rPr>
          <w:rFonts w:hint="eastAsia"/>
          <w:b/>
          <w:bCs/>
          <w:lang w:val="en-US" w:eastAsia="zh-CN"/>
        </w:rPr>
        <w:t>python</w:t>
      </w:r>
      <w:r>
        <w:rPr>
          <w:rFonts w:hint="eastAsia"/>
          <w:lang w:val="en-US" w:eastAsia="zh-CN"/>
        </w:rPr>
        <w:t>对4个CSV数据集进行筛选编排，制作</w:t>
      </w:r>
      <w:r>
        <w:rPr>
          <w:rFonts w:hint="default"/>
          <w:lang w:val="en-US" w:eastAsia="zh-CN"/>
        </w:rPr>
        <w:t>《全国各省市老年人口状况调查.xlsx》核心数据，构建 “需求强度 - 人口规模” 双维度加权模型</w:t>
      </w:r>
      <w:r>
        <w:rPr>
          <w:rFonts w:hint="eastAsia"/>
          <w:lang w:val="en-US" w:eastAsia="zh-CN"/>
        </w:rPr>
        <w:t>。</w:t>
      </w:r>
    </w:p>
    <w:p w14:paraId="60F32EDB">
      <w:pPr>
        <w:rPr>
          <w:rFonts w:hint="default"/>
          <w:lang w:val="en-US" w:eastAsia="zh-CN"/>
        </w:rPr>
      </w:pPr>
    </w:p>
    <w:p w14:paraId="7E829A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核心目标：</w:t>
      </w:r>
    </w:p>
    <w:p w14:paraId="25319228">
      <w:pPr>
        <w:numPr>
          <w:ilvl w:val="0"/>
          <w:numId w:val="13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精准识别刚需省份</w:t>
      </w:r>
      <w:r>
        <w:rPr>
          <w:rFonts w:hint="default"/>
          <w:lang w:val="en-US" w:eastAsia="zh-CN"/>
        </w:rPr>
        <w:t>：突出失能、独居等核心养老需求的权重，确保资源向高刚需地区倾斜；</w:t>
      </w:r>
    </w:p>
    <w:p w14:paraId="4E9C8FC6">
      <w:pPr>
        <w:numPr>
          <w:ilvl w:val="0"/>
          <w:numId w:val="1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兼顾政策覆盖效率</w:t>
      </w:r>
      <w:r>
        <w:rPr>
          <w:rFonts w:hint="default"/>
          <w:lang w:val="en-US" w:eastAsia="zh-CN"/>
        </w:rPr>
        <w:t>：纳入老年人口规模系数，避免 “小省高需求但总需求规模小” 过度占用资源；</w:t>
      </w:r>
    </w:p>
    <w:p w14:paraId="7630FF20">
      <w:pPr>
        <w:numPr>
          <w:ilvl w:val="0"/>
          <w:numId w:val="13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结果可解释可落地</w:t>
      </w:r>
      <w:r>
        <w:rPr>
          <w:rFonts w:hint="default"/>
          <w:lang w:val="en-US" w:eastAsia="zh-CN"/>
        </w:rPr>
        <w:t>：指标与权重均贴合养老政策业务逻辑，避免复杂算法</w:t>
      </w:r>
    </w:p>
    <w:p w14:paraId="1FFED9D2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C97AFA4">
      <w:pPr>
        <w:pStyle w:val="9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指标和权重解释</w:t>
      </w:r>
    </w:p>
    <w:tbl>
      <w:tblPr>
        <w:tblStyle w:val="1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927"/>
        <w:gridCol w:w="5636"/>
      </w:tblGrid>
      <w:tr w14:paraId="2A48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ECE5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 w:val="0"/>
                <w:sz w:val="24"/>
                <w:szCs w:val="24"/>
              </w:rPr>
              <w:t>指标名称</w:t>
            </w:r>
          </w:p>
        </w:tc>
        <w:tc>
          <w:tcPr>
            <w:tcW w:w="9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C8AE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权重</w:t>
            </w:r>
          </w:p>
        </w:tc>
        <w:tc>
          <w:tcPr>
            <w:tcW w:w="56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DECCC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权重分配依据</w:t>
            </w:r>
          </w:p>
        </w:tc>
      </w:tr>
      <w:tr w14:paraId="6C9F6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1737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失能占比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513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35%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45BC3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失能是养老最高优先级刚需（护理成本高、服务依赖性强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）。</w:t>
            </w:r>
          </w:p>
        </w:tc>
      </w:tr>
      <w:tr w14:paraId="377B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7758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每万老人机构数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F8D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FE5E3B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机构供给缺口直接反映资源不足程度，是政策 “补短板” 的核心依据</w:t>
            </w:r>
          </w:p>
        </w:tc>
      </w:tr>
      <w:tr w14:paraId="7639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D0003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60 岁及以上老年人口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7A8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25%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6B0FE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人口规模决定需求总体量，放大人口大省权重，确保政策覆盖效率</w:t>
            </w:r>
          </w:p>
        </w:tc>
      </w:tr>
      <w:tr w14:paraId="244B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36B7179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一人户占老年人口比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7A4A4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56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FF429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独居是社区服务需求，但优先级低于失能 / 机构缺口，故权重较低</w:t>
            </w:r>
          </w:p>
        </w:tc>
      </w:tr>
    </w:tbl>
    <w:p w14:paraId="5A700602">
      <w:pPr>
        <w:pStyle w:val="9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指标标准化和得分计算</w:t>
      </w:r>
    </w:p>
    <w:p w14:paraId="5A09C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正向指标（值越高，标准化得分越高）：失能占比、老年人口、一人户占比</w:t>
      </w:r>
    </w:p>
    <w:p w14:paraId="5D22D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反向指标（值越低，标准化得分越高）：每万老人机构数</w:t>
      </w:r>
    </w:p>
    <w:p w14:paraId="2EC4B1A6">
      <w:pPr>
        <w:rPr>
          <w:rFonts w:hint="eastAsia"/>
          <w:lang w:val="en-US" w:eastAsia="zh-CN"/>
        </w:rPr>
      </w:pPr>
    </w:p>
    <w:p w14:paraId="19C6BE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标准化：</w:t>
      </w:r>
    </w:p>
    <w:p w14:paraId="5335BD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</w:t>
      </w:r>
      <w:r>
        <w:rPr>
          <w:rFonts w:hint="eastAsia"/>
          <w:b w:val="0"/>
          <w:bCs w:val="0"/>
          <w:lang w:val="en-US" w:eastAsia="zh-CN"/>
        </w:rPr>
        <w:t>不同指标的</w:t>
      </w:r>
      <w:r>
        <w:rPr>
          <w:rFonts w:hint="eastAsia"/>
          <w:b/>
          <w:bCs/>
          <w:lang w:val="en-US" w:eastAsia="zh-CN"/>
        </w:rPr>
        <w:t>原始数值范围差异极大</w:t>
      </w:r>
      <w:r>
        <w:rPr>
          <w:rFonts w:hint="eastAsia"/>
          <w:b w:val="0"/>
          <w:bCs w:val="0"/>
          <w:lang w:val="en-US" w:eastAsia="zh-CN"/>
        </w:rPr>
        <w:t>，如失能占比通常为1%-5%，而老年人口通常为百万-千万级人数，如果直接用原始数值计算，“老年人口” 的大数值会完全掩盖 “失能占比” 的小数值，导致结果只由 “老年人口” 决定，</w:t>
      </w:r>
      <w:r>
        <w:rPr>
          <w:rFonts w:hint="eastAsia"/>
          <w:b/>
          <w:bCs/>
          <w:lang w:val="en-US" w:eastAsia="zh-CN"/>
        </w:rPr>
        <w:t>失去多维度评估的意义。</w:t>
      </w:r>
    </w:p>
    <w:p w14:paraId="0B910B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处理方式：</w:t>
      </w:r>
    </w:p>
    <w:p w14:paraId="21EA926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标准化（正向 / 反向）</w:t>
      </w:r>
      <w:r>
        <w:rPr>
          <w:rFonts w:hint="default"/>
          <w:b/>
          <w:bCs/>
          <w:lang w:val="en-US" w:eastAsia="zh-CN"/>
        </w:rPr>
        <w:t>将所有指标映射到「0-1」的统一区间</w:t>
      </w:r>
      <w:r>
        <w:rPr>
          <w:rFonts w:hint="default"/>
          <w:b w:val="0"/>
          <w:bCs w:val="0"/>
          <w:lang w:val="en-US" w:eastAsia="zh-CN"/>
        </w:rPr>
        <w:t>，消除了量纲差异，让 “失能占比（0-1）”“老年人口（0-1）”“机构数（0-1）” 能公平参与加权计算。</w:t>
      </w:r>
    </w:p>
    <w:p w14:paraId="79FBCA2E">
      <w:pPr>
        <w:rPr>
          <w:rFonts w:hint="default"/>
          <w:b w:val="0"/>
          <w:bCs w:val="0"/>
          <w:lang w:val="en-US" w:eastAsia="zh-CN"/>
        </w:rPr>
      </w:pPr>
    </w:p>
    <w:p w14:paraId="01AF0315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1.</w:t>
      </w:r>
      <w:r>
        <w:rPr>
          <w:rFonts w:ascii="宋体" w:hAnsi="宋体" w:eastAsia="宋体" w:cs="宋体"/>
          <w:sz w:val="21"/>
          <w:szCs w:val="21"/>
        </w:rPr>
        <w:t>正向标准化得分 =（实际值 - 最小值）/（最大值 - 最小值）</w:t>
      </w:r>
    </w:p>
    <w:p w14:paraId="414E1D2F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1"/>
          <w:lang w:val="en-US" w:eastAsia="zh-CN" w:bidi="ar-SA"/>
        </w:rPr>
        <w:t>2.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反向标准化得分 =（最大值 - 实际值）/（最大值 - 最小值）</w:t>
      </w:r>
    </w:p>
    <w:p w14:paraId="4E044A61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</w:p>
    <w:p w14:paraId="5C3770A2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这样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加权计算的结果既不会被 “大数值指标” 主导，也不会因 “指标方向相反” 出现逻辑矛盾，最终的 “养老需求综合得分” 能精准反映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“需求强 + 供给缺 + 规模大”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的区域优先级最高，完全贴合 “资源向最需要的地方倾斜” 的政策逻辑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。</w:t>
      </w:r>
    </w:p>
    <w:p w14:paraId="3350DE1C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</w:p>
    <w:p w14:paraId="24563FEB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得分计算公式：</w:t>
      </w:r>
    </w:p>
    <w:p w14:paraId="6639085A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养老需求综合得分 = 失能占比标准化得分 ×35% + 机构数标准化得分 ×30% + 老年人口标准化得分 ×25% + 一人户标准化得分 ×10%</w:t>
      </w:r>
    </w:p>
    <w:p w14:paraId="368C5B56">
      <w:pPr>
        <w:pStyle w:val="10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模型敏感性测试</w:t>
      </w:r>
    </w:p>
    <w:p w14:paraId="5BEAC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基于“失能为最高刚需、机构缺口是核心短板、人口规模保障覆盖效率、独居为次要补充”的核心逻辑，在不出现脱离实际的极端变动下，本研究进行权重微调（&lt;= 3%），来测试模型的敏感性。</w:t>
      </w:r>
    </w:p>
    <w:p w14:paraId="517233FB">
      <w:pPr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以下为6组温和场景调试：</w:t>
      </w:r>
    </w:p>
    <w:tbl>
      <w:tblPr>
        <w:tblStyle w:val="12"/>
        <w:tblW w:w="107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294"/>
        <w:gridCol w:w="1116"/>
        <w:gridCol w:w="1476"/>
        <w:gridCol w:w="1116"/>
        <w:gridCol w:w="1236"/>
        <w:gridCol w:w="2703"/>
      </w:tblGrid>
      <w:tr w14:paraId="0E977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ED093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场景类型</w:t>
            </w:r>
          </w:p>
        </w:tc>
        <w:tc>
          <w:tcPr>
            <w:tcW w:w="129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84C5D7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场景名称</w:t>
            </w:r>
          </w:p>
        </w:tc>
        <w:tc>
          <w:tcPr>
            <w:tcW w:w="11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4194DB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失能占比权重</w:t>
            </w:r>
          </w:p>
        </w:tc>
        <w:tc>
          <w:tcPr>
            <w:tcW w:w="14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69E280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每万老人机构数权重</w:t>
            </w:r>
          </w:p>
        </w:tc>
        <w:tc>
          <w:tcPr>
            <w:tcW w:w="11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1C88C6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老年人口权重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38D74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一人户占比权重</w:t>
            </w:r>
          </w:p>
        </w:tc>
        <w:tc>
          <w:tcPr>
            <w:tcW w:w="270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94EDD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调整逻辑</w:t>
            </w:r>
          </w:p>
        </w:tc>
      </w:tr>
      <w:tr w14:paraId="117A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256471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基准场景</w:t>
            </w:r>
          </w:p>
        </w:tc>
        <w:tc>
          <w:tcPr>
            <w:tcW w:w="12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497A3A5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原始逻辑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C744833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35%</w:t>
            </w:r>
          </w:p>
        </w:tc>
        <w:tc>
          <w:tcPr>
            <w:tcW w:w="147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24A6F8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30%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69BF5D8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25%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5EA1132F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2703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18894E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坚守 “刚需&gt; 供给 &gt; 规模 &gt; 独居” 优先级</w:t>
            </w:r>
          </w:p>
        </w:tc>
      </w:tr>
      <w:tr w14:paraId="72BC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E3F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温和微调场景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7E87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 1：小幅强化刚需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AC5D0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37%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80052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30%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DB9F4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24%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082A1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9%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CAE1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 + 2%（核心刚需小幅倾斜），从人口 / 独居各减 1%</w:t>
            </w:r>
          </w:p>
        </w:tc>
      </w:tr>
      <w:tr w14:paraId="3E11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1F64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温和微调场景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4A626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 2：小幅强化供给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F83FC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34%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12629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32%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6BA8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25%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40048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9%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2E95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机构 + 2%（供给缺口小幅倾斜），从失能 / 独居各减 1%</w:t>
            </w:r>
          </w:p>
        </w:tc>
      </w:tr>
      <w:tr w14:paraId="763E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A534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温和微调场景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3A52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 3：小幅强化规模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CD66A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34%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9B451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29%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20455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27%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90EFA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B600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人口 + 2%（覆盖效率小幅倾斜），从失能 / 机构各减 1%</w:t>
            </w:r>
          </w:p>
        </w:tc>
      </w:tr>
      <w:tr w14:paraId="6F70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3156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组合微调场景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8413B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 4：刚需 + 供给双强化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85D70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36%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9336C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31%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CEDB9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24%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292B4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9%</w:t>
            </w:r>
          </w:p>
        </w:tc>
        <w:tc>
          <w:tcPr>
            <w:tcW w:w="2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1C8A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 + 1%+ 机构 + 1%（核心矛盾双倾斜），人口 - 1%+ 独居 - 1%</w:t>
            </w:r>
          </w:p>
        </w:tc>
      </w:tr>
      <w:tr w14:paraId="373EA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64CEAB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组合微调场景</w:t>
            </w:r>
          </w:p>
        </w:tc>
        <w:tc>
          <w:tcPr>
            <w:tcW w:w="1294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30910D3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场景 5：全指标小幅波动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1E37B8D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33%</w:t>
            </w:r>
          </w:p>
        </w:tc>
        <w:tc>
          <w:tcPr>
            <w:tcW w:w="147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266E2657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31%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51B05FD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26%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6E936480">
            <w:pPr>
              <w:keepNext/>
              <w:snapToGrid w:val="0"/>
              <w:ind w:left="0" w:leftChars="0" w:right="0" w:rightChars="0" w:firstLine="0" w:firstLineChars="0"/>
              <w:jc w:val="righ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10%</w:t>
            </w:r>
          </w:p>
        </w:tc>
        <w:tc>
          <w:tcPr>
            <w:tcW w:w="2703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46B9547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所有指标 ±1~2%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模拟实际决策微调）</w:t>
            </w:r>
          </w:p>
        </w:tc>
      </w:tr>
    </w:tbl>
    <w:p w14:paraId="63D1438F">
      <w:r>
        <w:drawing>
          <wp:inline distT="0" distB="0" distL="114300" distR="114300">
            <wp:extent cx="5269865" cy="4362450"/>
            <wp:effectExtent l="0" t="0" r="635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EF9A">
      <w:pPr>
        <w:jc w:val="center"/>
        <w:rPr>
          <w:rFonts w:hint="default" w:eastAsiaTheme="minor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调整测试部分代码</w:t>
      </w:r>
    </w:p>
    <w:p w14:paraId="6040F7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通过这6组权重调整测试，研究得出以下可视图表及相应结论：</w:t>
      </w:r>
    </w:p>
    <w:p w14:paraId="48F01BCC">
      <w:r>
        <w:drawing>
          <wp:inline distT="0" distB="0" distL="114300" distR="114300">
            <wp:extent cx="4826000" cy="2743200"/>
            <wp:effectExtent l="4445" t="4445" r="8255" b="8255"/>
            <wp:docPr id="13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D76172D"/>
    <w:p w14:paraId="06050E05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asciiTheme="minorAscii" w:hAnsiTheme="minorAscii"/>
          <w:b/>
          <w:bCs/>
          <w:color w:val="1F2329"/>
          <w:sz w:val="21"/>
          <w:szCs w:val="21"/>
        </w:rPr>
        <w:t>核心结论极度稳定：</w:t>
      </w:r>
      <w:r>
        <w:rPr>
          <w:rFonts w:hint="default" w:asciiTheme="minorAscii" w:hAnsiTheme="minorAscii"/>
          <w:color w:val="1F2329"/>
          <w:sz w:val="21"/>
          <w:szCs w:val="21"/>
        </w:rPr>
        <w:t>前 10 名省份中，9 个省份排名完全不变，仅出现</w:t>
      </w:r>
      <w:r>
        <w:rPr>
          <w:rFonts w:hint="eastAsia" w:asciiTheme="minorAscii" w:hAnsiTheme="minorAscii"/>
          <w:color w:val="1F2329"/>
          <w:sz w:val="21"/>
          <w:szCs w:val="21"/>
          <w:lang w:val="en-US" w:eastAsia="zh-CN"/>
        </w:rPr>
        <w:t>少数</w:t>
      </w:r>
      <w:r>
        <w:rPr>
          <w:rFonts w:hint="default" w:asciiTheme="minorAscii" w:hAnsiTheme="minorAscii"/>
          <w:color w:val="1F2329"/>
          <w:sz w:val="21"/>
          <w:szCs w:val="21"/>
        </w:rPr>
        <w:t>互换，核心省份（四川、山东等）始终保持领先，未受权重微调影响；</w:t>
      </w:r>
    </w:p>
    <w:p w14:paraId="5044C5A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asciiTheme="minorAscii" w:hAnsiTheme="minorAscii"/>
          <w:b/>
          <w:bCs/>
          <w:color w:val="1F2329"/>
          <w:sz w:val="21"/>
          <w:szCs w:val="21"/>
        </w:rPr>
        <w:t>梯队边界绝对清晰：</w:t>
      </w:r>
      <w:r>
        <w:rPr>
          <w:rFonts w:hint="default" w:asciiTheme="minorAscii" w:hAnsiTheme="minorAscii"/>
          <w:color w:val="1F2329"/>
          <w:sz w:val="21"/>
          <w:szCs w:val="21"/>
        </w:rPr>
        <w:t>高、中、低优先级梯队的省份组成完全一致，无任何省份因权重调整跨梯队流动，验证了 “刚需 - 供给 - 规模” 的权重逻辑合理性；</w:t>
      </w:r>
    </w:p>
    <w:p w14:paraId="5632515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default" w:asciiTheme="minorAscii" w:hAnsiTheme="minorAscii"/>
          <w:color w:val="1F2329"/>
          <w:sz w:val="21"/>
          <w:szCs w:val="21"/>
        </w:rPr>
      </w:pPr>
      <w:r>
        <w:rPr>
          <w:rFonts w:hint="default" w:asciiTheme="minorAscii" w:hAnsiTheme="minorAscii"/>
          <w:b/>
          <w:bCs/>
          <w:color w:val="1F2329"/>
          <w:sz w:val="21"/>
          <w:szCs w:val="21"/>
        </w:rPr>
        <w:t>微调无逻辑偏离：</w:t>
      </w:r>
      <w:r>
        <w:rPr>
          <w:rFonts w:hint="default" w:asciiTheme="minorAscii" w:hAnsiTheme="minorAscii"/>
          <w:color w:val="1F2329"/>
          <w:sz w:val="21"/>
          <w:szCs w:val="21"/>
        </w:rPr>
        <w:t>即使在 “刚需 + 供给双强化”“全指标小幅波动” 场景下，模型结论仍与原始逻辑高度一致，未出现矛盾结果。</w:t>
      </w:r>
    </w:p>
    <w:p w14:paraId="57C52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default" w:asciiTheme="minorAscii" w:hAnsiTheme="minorAscii"/>
          <w:b/>
          <w:bCs/>
          <w:color w:val="1F2329"/>
          <w:sz w:val="21"/>
          <w:szCs w:val="21"/>
        </w:rPr>
      </w:pPr>
      <w:r>
        <w:rPr>
          <w:rFonts w:hint="default" w:asciiTheme="minorAscii" w:hAnsiTheme="minorAscii"/>
          <w:b/>
          <w:bCs/>
          <w:color w:val="1F2329"/>
          <w:sz w:val="21"/>
          <w:szCs w:val="21"/>
        </w:rPr>
        <w:t>综上，当前权重设置既贴合养老服务核心逻辑，又具有极强的稳定性，权重温和微调不会</w:t>
      </w:r>
      <w:r>
        <w:rPr>
          <w:rFonts w:hint="eastAsia" w:asciiTheme="minorAscii" w:hAnsiTheme="minorAscii"/>
          <w:b/>
          <w:bCs/>
          <w:color w:val="1F2329"/>
          <w:sz w:val="21"/>
          <w:szCs w:val="21"/>
          <w:lang w:val="en-US" w:eastAsia="zh-CN"/>
        </w:rPr>
        <w:tab/>
      </w:r>
      <w:r>
        <w:rPr>
          <w:rFonts w:hint="default" w:asciiTheme="minorAscii" w:hAnsiTheme="minorAscii"/>
          <w:b/>
          <w:bCs/>
          <w:color w:val="1F2329"/>
          <w:sz w:val="21"/>
          <w:szCs w:val="21"/>
        </w:rPr>
        <w:t>改变养老需求优先级的核心结论，模型可靠性充分验证。</w:t>
      </w:r>
    </w:p>
    <w:p w14:paraId="150EA0C6">
      <w:pPr>
        <w:rPr>
          <w:rFonts w:hint="default"/>
          <w:lang w:val="en-US" w:eastAsia="zh-CN"/>
        </w:rPr>
      </w:pPr>
    </w:p>
    <w:p w14:paraId="6F2C06D4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二）基于加权模型的养老政策建议</w:t>
      </w:r>
    </w:p>
    <w:p w14:paraId="5E765DEB">
      <w:r>
        <w:drawing>
          <wp:inline distT="0" distB="0" distL="114300" distR="114300">
            <wp:extent cx="5269865" cy="3582035"/>
            <wp:effectExtent l="4445" t="4445" r="8890" b="7620"/>
            <wp:docPr id="14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A7AD9AD">
      <w:pPr>
        <w:jc w:val="center"/>
        <w:rPr>
          <w:rFonts w:hint="default" w:eastAsiaTheme="minorEastAsia"/>
          <w:sz w:val="15"/>
          <w:szCs w:val="15"/>
          <w:lang w:val="en-US" w:eastAsia="zh-CN"/>
        </w:rPr>
      </w:pPr>
      <w:r>
        <w:rPr>
          <w:rFonts w:hint="default" w:eastAsiaTheme="minorEastAsia"/>
          <w:sz w:val="15"/>
          <w:szCs w:val="15"/>
          <w:lang w:val="en-US" w:eastAsia="zh-CN"/>
        </w:rPr>
        <w:t>养老需求综合得分</w:t>
      </w:r>
    </w:p>
    <w:p w14:paraId="6CC416E9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根据综合得分，全国31个省市可分为3个优先级梯队，核心特征如下：</w:t>
      </w:r>
    </w:p>
    <w:tbl>
      <w:tblPr>
        <w:tblStyle w:val="1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116"/>
        <w:gridCol w:w="4477"/>
        <w:gridCol w:w="1557"/>
      </w:tblGrid>
      <w:tr w14:paraId="1E23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7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5E3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优先级梯队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B89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覆盖省份数量</w:t>
            </w:r>
          </w:p>
        </w:tc>
        <w:tc>
          <w:tcPr>
            <w:tcW w:w="44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B2D9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核心特征（梯队均值）</w:t>
            </w:r>
          </w:p>
        </w:tc>
        <w:tc>
          <w:tcPr>
            <w:tcW w:w="155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70B9B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sz w:val="24"/>
                <w:szCs w:val="24"/>
              </w:rPr>
              <w:t>代表省份</w:t>
            </w:r>
          </w:p>
        </w:tc>
      </w:tr>
      <w:tr w14:paraId="37F3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403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高优先级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4F9F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个</w:t>
            </w:r>
          </w:p>
        </w:tc>
        <w:tc>
          <w:tcPr>
            <w:tcW w:w="4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1C1B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失能占比≈3.3%、每万老人机构数≈22 个（供给缺口大）、老年人口超 900 万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B2AFD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四川、山东、河北、安徽</w:t>
            </w:r>
          </w:p>
        </w:tc>
      </w:tr>
      <w:tr w14:paraId="5C38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6E3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中优先级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D70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个</w:t>
            </w:r>
          </w:p>
        </w:tc>
        <w:tc>
          <w:tcPr>
            <w:tcW w:w="4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B2AAF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失能占比≈3.1%、每万老人机构数≈23 个（供给基本匹配）、老年人口 400-900 万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3A1D1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湖南、湖北、山西、内蒙古</w:t>
            </w:r>
          </w:p>
        </w:tc>
      </w:tr>
      <w:tr w14:paraId="5AE55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B7642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低优先级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1FC7C9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个</w:t>
            </w:r>
          </w:p>
        </w:tc>
        <w:tc>
          <w:tcPr>
            <w:tcW w:w="44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4E97BB4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失能占比≈2.9%、每万老人机构数≈45 个（供给充足）、老年人口＜400 万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5A428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北京、上海、青海、天津</w:t>
            </w:r>
          </w:p>
        </w:tc>
      </w:tr>
    </w:tbl>
    <w:p w14:paraId="249C5D53">
      <w:pPr>
        <w:pStyle w:val="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----重点省份得分解读</w:t>
      </w:r>
    </w:p>
    <w:p w14:paraId="2FDDF40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</w:t>
      </w:r>
      <w:r>
        <w:rPr>
          <w:color w:val="000000"/>
          <w:sz w:val="16"/>
          <w:szCs w:val="16"/>
        </w:rPr>
        <w:t xml:space="preserve"> </w:t>
      </w:r>
      <w:r>
        <w:rPr>
          <w:color w:val="000000"/>
          <w:sz w:val="21"/>
          <w:szCs w:val="21"/>
        </w:rPr>
        <w:t>高优先级典型省份（排名 TOP5）</w:t>
      </w:r>
    </w:p>
    <w:p w14:paraId="1E41C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四川省（排名第 1，综合得分 69.15）</w:t>
      </w:r>
    </w:p>
    <w:p w14:paraId="48D107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数据详情：60 岁及以上老年人口 1412994 人、失能占比 3.31%、每万老人机构数 22.39 个；</w:t>
      </w:r>
    </w:p>
    <w:p w14:paraId="6668E5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核心特征：老年人口规模最大 + 机构供给缺口显著（每万老人机构数仅 22.39 个），是 “高</w:t>
      </w:r>
      <w:r>
        <w:rPr>
          <w:rFonts w:hint="eastAsia"/>
          <w:color w:val="000000"/>
          <w:sz w:val="21"/>
          <w:szCs w:val="21"/>
          <w:lang w:val="en-US" w:eastAsia="zh-CN"/>
        </w:rPr>
        <w:tab/>
      </w:r>
      <w:r>
        <w:rPr>
          <w:color w:val="000000"/>
          <w:sz w:val="21"/>
          <w:szCs w:val="21"/>
        </w:rPr>
        <w:t>需求 + 低供给” 的典型区域。</w:t>
      </w:r>
    </w:p>
    <w:p w14:paraId="714D60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</w:p>
    <w:p w14:paraId="6E45E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14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山东省（排名第 2，综合得分 63.17）</w:t>
      </w:r>
    </w:p>
    <w:p w14:paraId="7A4D72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数据详情：60 岁及以上老年人口 1400109 人、失能占比 2.68%、每万老人机构数 18.7 个；</w:t>
      </w:r>
    </w:p>
    <w:p w14:paraId="38CA68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核心特征：老年人口规模第二，机构供给缺口突出，需优先补充资源。</w:t>
      </w:r>
    </w:p>
    <w:p w14:paraId="5241EC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color w:val="000000"/>
          <w:sz w:val="21"/>
          <w:szCs w:val="21"/>
        </w:rPr>
      </w:pPr>
    </w:p>
    <w:p w14:paraId="129538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2. 中优先级典型省份（排名 10-15）</w:t>
      </w:r>
    </w:p>
    <w:p w14:paraId="4494F9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山西省（排名第 10，综合得分 52.84）</w:t>
      </w:r>
    </w:p>
    <w:p w14:paraId="13C487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数据详情：60 岁及以上老年人口 446669 人、失能占比 3.4%、每万老人机构数 22.86 个；</w:t>
      </w:r>
    </w:p>
    <w:p w14:paraId="2B5189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核心特征：失能占比偏高，但老年人口规模中等，机构供给处于中游水平。</w:t>
      </w:r>
    </w:p>
    <w:p w14:paraId="2EF2EE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</w:p>
    <w:p w14:paraId="70DA46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湖北省（排名第 12，综合得分 51.54）</w:t>
      </w:r>
    </w:p>
    <w:p w14:paraId="3B588C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数据详情：60 岁及以上老年人口 779566 人、失能占比 3.03%、每万老人机构数 23.67 个；</w:t>
      </w:r>
    </w:p>
    <w:p w14:paraId="06FD4D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核心特征：需求与供给基本匹配，需优化服务结构。</w:t>
      </w:r>
    </w:p>
    <w:p w14:paraId="74E178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</w:p>
    <w:p w14:paraId="55FA35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/>
          <w:color w:val="000000"/>
          <w:sz w:val="21"/>
          <w:szCs w:val="21"/>
        </w:rPr>
      </w:pPr>
    </w:p>
    <w:p w14:paraId="1929E393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低优先级典型省份（排名 25-31）</w:t>
      </w:r>
    </w:p>
    <w:p w14:paraId="411FDFF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黑龙江省（排名第 25，综合得分 37.9）</w:t>
      </w:r>
    </w:p>
    <w:p w14:paraId="50C01BF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数据详情：60 岁及以上老年人口 468696 人、失能占比 2.51%、每万老人机构数 35.42 个；</w:t>
      </w:r>
    </w:p>
    <w:p w14:paraId="2C152D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核心特征：机构供给充足（每万老人机构数 35.42 个），需求强度偏低。</w:t>
      </w:r>
    </w:p>
    <w:p w14:paraId="4A1FA4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51294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天津市（排名第 31，综合得分 27.09）</w:t>
      </w:r>
    </w:p>
    <w:p w14:paraId="23250B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数据详情：60 岁及以上老年人口 162233 人、失能占比 3.63%、每万老人机构数 63.61 个；</w:t>
      </w:r>
    </w:p>
    <w:p w14:paraId="26F3F3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核心特征：机构供给过剩（每万老人机构数超 60 个），需求规模较小。</w:t>
      </w:r>
    </w:p>
    <w:p w14:paraId="32AABF1F">
      <w:pPr>
        <w:rPr>
          <w:rFonts w:hint="default" w:eastAsiaTheme="minorEastAsia"/>
          <w:lang w:val="en-US" w:eastAsia="zh-CN"/>
        </w:rPr>
      </w:pPr>
    </w:p>
    <w:p w14:paraId="6F68AB5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从加权排名结果来看，高优先级省份的核心痛点是 “</w:t>
      </w:r>
      <w:r>
        <w:rPr>
          <w:rFonts w:hint="default" w:eastAsiaTheme="minorEastAsia"/>
          <w:b/>
          <w:bCs/>
          <w:lang w:val="en-US" w:eastAsia="zh-CN"/>
        </w:rPr>
        <w:t>失能占比高 + 机构供给少 + 老年人口规模大</w:t>
      </w:r>
      <w:r>
        <w:rPr>
          <w:rFonts w:hint="default" w:eastAsiaTheme="minorEastAsia"/>
          <w:lang w:val="en-US" w:eastAsia="zh-CN"/>
        </w:rPr>
        <w:t>”，需以 “</w:t>
      </w:r>
      <w:r>
        <w:rPr>
          <w:rFonts w:hint="default" w:eastAsiaTheme="minorEastAsia"/>
          <w:b/>
          <w:bCs/>
          <w:lang w:val="en-US" w:eastAsia="zh-CN"/>
        </w:rPr>
        <w:t>补缺口、扩覆盖</w:t>
      </w:r>
      <w:r>
        <w:rPr>
          <w:rFonts w:hint="default" w:eastAsiaTheme="minorEastAsia"/>
          <w:lang w:val="en-US" w:eastAsia="zh-CN"/>
        </w:rPr>
        <w:t>” 为核心；中优先级省份呈现 “</w:t>
      </w:r>
      <w:r>
        <w:rPr>
          <w:rFonts w:hint="default" w:eastAsiaTheme="minorEastAsia"/>
          <w:b/>
          <w:bCs/>
          <w:lang w:val="en-US" w:eastAsia="zh-CN"/>
        </w:rPr>
        <w:t>需求与供给基本匹配但结构失衡</w:t>
      </w:r>
      <w:r>
        <w:rPr>
          <w:rFonts w:hint="default" w:eastAsiaTheme="minorEastAsia"/>
          <w:lang w:val="en-US" w:eastAsia="zh-CN"/>
        </w:rPr>
        <w:t>” 的特征，需聚焦 “</w:t>
      </w:r>
      <w:r>
        <w:rPr>
          <w:rFonts w:hint="default" w:eastAsiaTheme="minorEastAsia"/>
          <w:b/>
          <w:bCs/>
          <w:lang w:val="en-US" w:eastAsia="zh-CN"/>
        </w:rPr>
        <w:t>调结构、提质量</w:t>
      </w:r>
      <w:r>
        <w:rPr>
          <w:rFonts w:hint="default" w:eastAsiaTheme="minorEastAsia"/>
          <w:lang w:val="en-US" w:eastAsia="zh-CN"/>
        </w:rPr>
        <w:t>”；低优先级省份则面临 “</w:t>
      </w:r>
      <w:r>
        <w:rPr>
          <w:rFonts w:hint="default" w:eastAsiaTheme="minorEastAsia"/>
          <w:b/>
          <w:bCs/>
          <w:lang w:val="en-US" w:eastAsia="zh-CN"/>
        </w:rPr>
        <w:t>资源充足但效率不足</w:t>
      </w:r>
      <w:r>
        <w:rPr>
          <w:rFonts w:hint="default" w:eastAsiaTheme="minorEastAsia"/>
          <w:lang w:val="en-US" w:eastAsia="zh-CN"/>
        </w:rPr>
        <w:t>” 的问题，应侧重 “</w:t>
      </w:r>
      <w:r>
        <w:rPr>
          <w:rFonts w:hint="default" w:eastAsiaTheme="minorEastAsia"/>
          <w:b/>
          <w:bCs/>
          <w:lang w:val="en-US" w:eastAsia="zh-CN"/>
        </w:rPr>
        <w:t>优存量、控新增</w:t>
      </w:r>
      <w:r>
        <w:rPr>
          <w:rFonts w:hint="default" w:eastAsiaTheme="minorEastAsia"/>
          <w:lang w:val="en-US" w:eastAsia="zh-CN"/>
        </w:rPr>
        <w:t>”。基于这一差异化特征，下文针对性提出政策建议，确保资源向最需处集中，提升政策实施的精准度与效率。</w:t>
      </w:r>
    </w:p>
    <w:p w14:paraId="249B4CB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（三）基于K-means聚类法对“失能-独居”的二维养老需求画像和养老产业投资分析</w:t>
      </w:r>
    </w:p>
    <w:p w14:paraId="0C52533F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“失能 - 独居”二维分析框架</w:t>
      </w:r>
    </w:p>
    <w:p w14:paraId="74C3A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两项指标均来自《全国各省市老年人口状况调查.xlsx》，数据完整覆盖 31 省市，计算逻辑统一。指标均为相对值，消除了省份人口规模差异，跨区域对比更公平：</w:t>
      </w:r>
    </w:p>
    <w:p w14:paraId="30E77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失能占比 = 不能自理人数 / 60 岁及以上老年人口 ×100%；</w:t>
      </w:r>
    </w:p>
    <w:p w14:paraId="36399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独居占比 = 一人户人数 / 60 岁及以上老年人口 ×100%</w:t>
      </w:r>
    </w:p>
    <w:p w14:paraId="0B10199E">
      <w:pPr>
        <w:rPr>
          <w:rFonts w:hint="eastAsia"/>
          <w:lang w:val="en-US" w:eastAsia="zh-CN"/>
        </w:rPr>
      </w:pPr>
    </w:p>
    <w:p w14:paraId="5166035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原因：覆盖养老服务的两大关键场景</w:t>
      </w:r>
    </w:p>
    <w:p w14:paraId="27E0738F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养老服务的核心痛点集中在 “失能护理” 和 “独居支持” 两大场景，二者既相互独立又存在叠加需求</w:t>
      </w:r>
      <w:r>
        <w:rPr>
          <w:rFonts w:hint="eastAsia"/>
          <w:b w:val="0"/>
          <w:bCs w:val="0"/>
          <w:lang w:val="en-US" w:eastAsia="zh-CN"/>
        </w:rPr>
        <w:t>，失能群体需专业医疗护理、24小时照护等刚性服务，是养老资源投入的最高优先级；独居群体需基础生活服务，如助餐、助浴、安全保障、精神慰藉等普惠性服务，覆盖范围最广；而叠加群体（失能 + 独居）：是“刚需中的刚需”，要求同时满足专业护理和居家支持，资源缺口最大。</w:t>
      </w:r>
    </w:p>
    <w:p w14:paraId="56D2774F">
      <w:pPr>
        <w:pStyle w:val="9"/>
        <w:numPr>
          <w:ilvl w:val="0"/>
          <w:numId w:val="1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K-means聚类算法选择</w:t>
      </w:r>
    </w:p>
    <w:p w14:paraId="4A53263E">
      <w:pPr>
        <w:widowControl w:val="0"/>
        <w:numPr>
          <w:ilvl w:val="1"/>
          <w:numId w:val="0"/>
        </w:numPr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(1)</w:t>
      </w:r>
      <w:r>
        <w:rPr>
          <w:rFonts w:hint="eastAsia"/>
          <w:b/>
          <w:bCs/>
          <w:lang w:val="en-US" w:eastAsia="zh-CN"/>
        </w:rPr>
        <w:t>无监督学习适配：无需预设需求分类标准</w:t>
      </w:r>
    </w:p>
    <w:p w14:paraId="2B3C6A6F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养老需求的区域差异无明确 “天然分类”，K-means 无需人工标注，可基于数据本身的分布特征，自动聚合相似省份，结果更贴合实际需求规律。</w:t>
      </w:r>
    </w:p>
    <w:p w14:paraId="432CDBAA">
      <w:pPr>
        <w:widowControl w:val="0"/>
        <w:numPr>
          <w:ilvl w:val="1"/>
          <w:numId w:val="0"/>
        </w:numPr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(2)</w:t>
      </w:r>
      <w:r>
        <w:rPr>
          <w:rFonts w:hint="default"/>
          <w:b/>
          <w:bCs/>
          <w:lang w:val="en-US" w:eastAsia="zh-CN"/>
        </w:rPr>
        <w:t>聚类效果直观：便于业务解读与落地</w:t>
      </w:r>
    </w:p>
    <w:p w14:paraId="1C99D0A0">
      <w:pPr>
        <w:widowControl w:val="0"/>
        <w:numPr>
          <w:ilvl w:val="0"/>
          <w:numId w:val="17"/>
        </w:numPr>
        <w:ind w:left="420"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means将31个省市划分为明确的聚类群体，每个群体 “失能 - 独居” 特征清晰，标签可直接转化为业务语言（“双高需求型”“失能主导型”），无需复杂专业知识即可理解。</w:t>
      </w:r>
    </w:p>
    <w:p w14:paraId="1D7D631A">
      <w:pPr>
        <w:widowControl w:val="0"/>
        <w:numPr>
          <w:ilvl w:val="1"/>
          <w:numId w:val="0"/>
        </w:numPr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(3)</w:t>
      </w:r>
      <w:r>
        <w:rPr>
          <w:rFonts w:hint="default"/>
          <w:b/>
          <w:bCs/>
          <w:lang w:val="en-US" w:eastAsia="zh-CN"/>
        </w:rPr>
        <w:t>结果可重复性与稳定性：支撑决策可信度</w:t>
      </w:r>
    </w:p>
    <w:p w14:paraId="28D54455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通过固定 random_state=42、设置 n_init=10（多次初始化），确保聚类结果可重复，避免随机波动导致的结论偏差，为后续投资、服务布局等决策提供稳定依据</w:t>
      </w:r>
    </w:p>
    <w:p w14:paraId="41A93130">
      <w:pPr>
        <w:widowControl w:val="0"/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66690" cy="1715770"/>
            <wp:effectExtent l="0" t="0" r="3810" b="1143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6DF0">
      <w:pPr>
        <w:widowControl w:val="0"/>
        <w:numPr>
          <w:ilvl w:val="1"/>
          <w:numId w:val="0"/>
        </w:numPr>
        <w:ind w:left="84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(4)</w:t>
      </w:r>
      <w:r>
        <w:rPr>
          <w:rFonts w:hint="default" w:eastAsiaTheme="minorEastAsia"/>
          <w:b/>
          <w:bCs/>
          <w:lang w:val="en-US" w:eastAsia="zh-CN"/>
        </w:rPr>
        <w:t>适配二维数据：运算高效且结果精准</w:t>
      </w:r>
    </w:p>
    <w:p w14:paraId="68932000">
      <w:pPr>
        <w:numPr>
          <w:ilvl w:val="0"/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1"/>
          <w:szCs w:val="21"/>
        </w:rPr>
        <w:t>对于“失能 - 独居”二维特征，K-means 通过计算样本间欧氏距离实现聚类，运算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ascii="宋体" w:hAnsi="宋体" w:eastAsia="宋体" w:cs="宋体"/>
          <w:sz w:val="21"/>
          <w:szCs w:val="21"/>
        </w:rPr>
        <w:t>逻辑简单高效，同时能精准捕捉省份间的需求差异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,</w:t>
      </w:r>
      <w:r>
        <w:rPr>
          <w:rFonts w:ascii="宋体" w:hAnsi="宋体" w:eastAsia="宋体" w:cs="宋体"/>
          <w:sz w:val="21"/>
          <w:szCs w:val="21"/>
        </w:rPr>
        <w:t xml:space="preserve">避免过度复杂算法带来的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ab/>
      </w:r>
      <w:r>
        <w:rPr>
          <w:rFonts w:ascii="宋体" w:hAnsi="宋体" w:eastAsia="宋体" w:cs="宋体"/>
          <w:sz w:val="21"/>
          <w:szCs w:val="21"/>
        </w:rPr>
        <w:t>“黑箱问题</w:t>
      </w:r>
      <w:r>
        <w:rPr>
          <w:rFonts w:ascii="宋体" w:hAnsi="宋体" w:eastAsia="宋体" w:cs="宋体"/>
          <w:sz w:val="24"/>
          <w:szCs w:val="24"/>
        </w:rPr>
        <w:t>”。</w:t>
      </w:r>
    </w:p>
    <w:p w14:paraId="190DA9F3">
      <w:pPr>
        <w:pStyle w:val="9"/>
        <w:numPr>
          <w:ilvl w:val="0"/>
          <w:numId w:val="1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K-means聚类核心结果</w:t>
      </w:r>
    </w:p>
    <w:p w14:paraId="4C5CD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478530"/>
            <wp:effectExtent l="0" t="0" r="5715" b="1270"/>
            <wp:docPr id="17" name="图片 17" descr="养老需求Kmeans聚类图_单一表格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养老需求Kmeans聚类图_单一表格版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C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通过K-means聚类（n_clusters=3），结合全国均值线（失能占比均值 3.16%、独居占比均值 41.19%），将 31 省市划分为 3 类需求类型，各类特征明确：</w:t>
      </w:r>
    </w:p>
    <w:p w14:paraId="2AA752C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. 双高需求型（共</w:t>
      </w: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个省份）</w:t>
      </w:r>
    </w:p>
    <w:p w14:paraId="2E579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</w:t>
      </w:r>
      <w:r>
        <w:rPr>
          <w:rFonts w:hint="default"/>
          <w:b/>
          <w:bCs/>
          <w:lang w:val="en-US" w:eastAsia="zh-CN"/>
        </w:rPr>
        <w:t>失能占比＞全国均值</w:t>
      </w:r>
      <w:r>
        <w:rPr>
          <w:rFonts w:hint="default"/>
          <w:lang w:val="en-US" w:eastAsia="zh-CN"/>
        </w:rPr>
        <w:t>（平均 3.29%）、</w:t>
      </w:r>
      <w:r>
        <w:rPr>
          <w:rFonts w:hint="default"/>
          <w:b/>
          <w:bCs/>
          <w:lang w:val="en-US" w:eastAsia="zh-CN"/>
        </w:rPr>
        <w:t>独居占比＞全国均值</w:t>
      </w:r>
      <w:r>
        <w:rPr>
          <w:rFonts w:hint="default"/>
          <w:lang w:val="en-US" w:eastAsia="zh-CN"/>
        </w:rPr>
        <w:t>（平均 53.51%），双重需求叠加；</w:t>
      </w:r>
      <w:bookmarkStart w:id="0" w:name="_GoBack"/>
      <w:bookmarkEnd w:id="0"/>
    </w:p>
    <w:p w14:paraId="00AE6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涉及省份：四川、重庆、贵州、内蒙古等；</w:t>
      </w:r>
    </w:p>
    <w:p w14:paraId="718E15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需求痛点：既需大量专业护理资源，又要覆盖广泛的居家基础服务，资源缺口全面且突出。</w:t>
      </w:r>
    </w:p>
    <w:p w14:paraId="63D4DD8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. 失能主导型（共</w:t>
      </w:r>
      <w:r>
        <w:rPr>
          <w:rFonts w:hint="eastAsia"/>
          <w:b/>
          <w:bCs/>
          <w:lang w:val="en-US" w:eastAsia="zh-CN"/>
        </w:rPr>
        <w:t>12</w:t>
      </w:r>
      <w:r>
        <w:rPr>
          <w:rFonts w:hint="default"/>
          <w:b/>
          <w:bCs/>
          <w:lang w:val="en-US" w:eastAsia="zh-CN"/>
        </w:rPr>
        <w:t>个省份）</w:t>
      </w:r>
    </w:p>
    <w:p w14:paraId="27BF5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</w:t>
      </w:r>
      <w:r>
        <w:rPr>
          <w:rFonts w:hint="default"/>
          <w:b/>
          <w:bCs/>
          <w:lang w:val="en-US" w:eastAsia="zh-CN"/>
        </w:rPr>
        <w:t>失能占比＞全国均值</w:t>
      </w:r>
      <w:r>
        <w:rPr>
          <w:rFonts w:hint="default"/>
          <w:lang w:val="en-US" w:eastAsia="zh-CN"/>
        </w:rPr>
        <w:t>（平均 3.77%）、</w:t>
      </w:r>
      <w:r>
        <w:rPr>
          <w:rFonts w:hint="default"/>
          <w:b/>
          <w:bCs/>
          <w:lang w:val="en-US" w:eastAsia="zh-CN"/>
        </w:rPr>
        <w:t>独居占比＜全国均值</w:t>
      </w:r>
      <w:r>
        <w:rPr>
          <w:rFonts w:hint="default"/>
          <w:lang w:val="en-US" w:eastAsia="zh-CN"/>
        </w:rPr>
        <w:t>（平均 34.84%），专业护理需求是核心；</w:t>
      </w:r>
    </w:p>
    <w:p w14:paraId="5067C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涉及省份：西藏、山西、甘肃、云南等；</w:t>
      </w:r>
    </w:p>
    <w:p w14:paraId="76C86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需求痛点：失能群体护理需求迫切，但独居群体基础服务压力较小，需重点倾斜专业照护资源。</w:t>
      </w:r>
    </w:p>
    <w:p w14:paraId="2BB5B07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）</w:t>
      </w:r>
      <w:r>
        <w:rPr>
          <w:rFonts w:hint="default"/>
          <w:b/>
          <w:bCs/>
          <w:lang w:val="en-US" w:eastAsia="zh-CN"/>
        </w:rPr>
        <w:t>. 基础需求型（共</w:t>
      </w:r>
      <w:r>
        <w:rPr>
          <w:rFonts w:hint="eastAsia"/>
          <w:b/>
          <w:bCs/>
          <w:lang w:val="en-US" w:eastAsia="zh-CN"/>
        </w:rPr>
        <w:t>12</w:t>
      </w:r>
      <w:r>
        <w:rPr>
          <w:rFonts w:hint="default"/>
          <w:b/>
          <w:bCs/>
          <w:lang w:val="en-US" w:eastAsia="zh-CN"/>
        </w:rPr>
        <w:t>个省份）</w:t>
      </w:r>
    </w:p>
    <w:p w14:paraId="383DE0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</w:t>
      </w:r>
      <w:r>
        <w:rPr>
          <w:rFonts w:hint="default"/>
          <w:b/>
          <w:bCs/>
          <w:lang w:val="en-US" w:eastAsia="zh-CN"/>
        </w:rPr>
        <w:t>失能占比＜全国均值</w:t>
      </w:r>
      <w:r>
        <w:rPr>
          <w:rFonts w:hint="default"/>
          <w:lang w:val="en-US" w:eastAsia="zh-CN"/>
        </w:rPr>
        <w:t>（平均 2.46%）、</w:t>
      </w:r>
      <w:r>
        <w:rPr>
          <w:rFonts w:hint="default"/>
          <w:b/>
          <w:bCs/>
          <w:lang w:val="en-US" w:eastAsia="zh-CN"/>
        </w:rPr>
        <w:t>独居占比接近全国均值</w:t>
      </w:r>
      <w:r>
        <w:rPr>
          <w:rFonts w:hint="default"/>
          <w:lang w:val="en-US" w:eastAsia="zh-CN"/>
        </w:rPr>
        <w:t>（平均 40.35%），需求以普惠性服务为主；</w:t>
      </w:r>
    </w:p>
    <w:p w14:paraId="5CABF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涉及省份：江苏、辽宁、河北、北京等；</w:t>
      </w:r>
    </w:p>
    <w:p w14:paraId="0D9366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需求痛点：无突出刚性缺口，需优化基础服务质量、补充细分场景（如精神慰藉、智能养老）。</w:t>
      </w:r>
    </w:p>
    <w:p w14:paraId="292E53A1">
      <w:pPr>
        <w:rPr>
          <w:rFonts w:hint="default"/>
          <w:lang w:val="en-US" w:eastAsia="zh-CN"/>
        </w:rPr>
      </w:pPr>
    </w:p>
    <w:p w14:paraId="21347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三类聚类地区的需求痛点差异显著：双高需求型地区需同时填补 “</w:t>
      </w:r>
      <w:r>
        <w:rPr>
          <w:rFonts w:hint="default"/>
          <w:b/>
          <w:bCs/>
          <w:lang w:val="en-US" w:eastAsia="zh-CN"/>
        </w:rPr>
        <w:t>专业护理 + 居家基础服务</w:t>
      </w:r>
      <w:r>
        <w:rPr>
          <w:rFonts w:hint="default"/>
          <w:lang w:val="en-US" w:eastAsia="zh-CN"/>
        </w:rPr>
        <w:t>” 双重缺口，失能主导型地区需聚焦 “</w:t>
      </w:r>
      <w:r>
        <w:rPr>
          <w:rFonts w:hint="default"/>
          <w:b/>
          <w:bCs/>
          <w:lang w:val="en-US" w:eastAsia="zh-CN"/>
        </w:rPr>
        <w:t>失能群体专业照护</w:t>
      </w:r>
      <w:r>
        <w:rPr>
          <w:rFonts w:hint="default"/>
          <w:lang w:val="en-US" w:eastAsia="zh-CN"/>
        </w:rPr>
        <w:t>” 这一核心矛盾，基础需求型地区则需在普惠服务基础上优化品质、补充细分场景。基于此，下文从</w:t>
      </w:r>
      <w:r>
        <w:rPr>
          <w:rFonts w:hint="default"/>
          <w:b/>
          <w:bCs/>
          <w:lang w:val="en-US" w:eastAsia="zh-CN"/>
        </w:rPr>
        <w:t>政府公共投资</w:t>
      </w:r>
      <w:r>
        <w:rPr>
          <w:rFonts w:hint="default"/>
          <w:lang w:val="en-US" w:eastAsia="zh-CN"/>
        </w:rPr>
        <w:t>（筑牢普惠底线）和</w:t>
      </w:r>
      <w:r>
        <w:rPr>
          <w:rFonts w:hint="default"/>
          <w:b/>
          <w:bCs/>
          <w:lang w:val="en-US" w:eastAsia="zh-CN"/>
        </w:rPr>
        <w:t>私人资本投资</w:t>
      </w:r>
      <w:r>
        <w:rPr>
          <w:rFonts w:hint="default"/>
          <w:lang w:val="en-US" w:eastAsia="zh-CN"/>
        </w:rPr>
        <w:t>（挖掘市场机会）双维度，制定差异化投资策略，实现 “缺口精准补、资源高效用”。</w:t>
      </w:r>
    </w:p>
    <w:p w14:paraId="18C40CC5">
      <w:pPr>
        <w:pStyle w:val="9"/>
        <w:numPr>
          <w:ilvl w:val="0"/>
          <w:numId w:val="1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基于K-means聚类的全国养老投资分析</w:t>
      </w:r>
    </w:p>
    <w:p w14:paraId="4EEC6EE6">
      <w:pPr>
        <w:pStyle w:val="10"/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双高需求型地区：双需求叠加，公私协同补缺口</w:t>
      </w:r>
    </w:p>
    <w:p w14:paraId="064580C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</w:t>
      </w:r>
      <w:r>
        <w:rPr>
          <w:rFonts w:hint="default"/>
          <w:b/>
          <w:bCs/>
          <w:lang w:val="en-US" w:eastAsia="zh-CN"/>
        </w:rPr>
        <w:t>政府公共投资：筑牢保障底线</w:t>
      </w:r>
    </w:p>
    <w:p w14:paraId="0860CE0A">
      <w:pPr>
        <w:numPr>
          <w:ilvl w:val="0"/>
          <w:numId w:val="19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护理型机构基建投资：</w:t>
      </w:r>
    </w:p>
    <w:p w14:paraId="1B36362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重点布局：在地级市、县域新建区域性护理院，按</w:t>
      </w:r>
      <w:r>
        <w:rPr>
          <w:rFonts w:hint="eastAsia"/>
          <w:b w:val="0"/>
          <w:bCs w:val="0"/>
          <w:lang w:val="en-US" w:eastAsia="zh-CN"/>
        </w:rPr>
        <w:t>当地需求</w:t>
      </w:r>
      <w:r>
        <w:rPr>
          <w:rFonts w:hint="default"/>
          <w:b w:val="0"/>
          <w:bCs w:val="0"/>
          <w:lang w:val="en-US" w:eastAsia="zh-CN"/>
        </w:rPr>
        <w:t>，单机构床位</w:t>
      </w:r>
      <w:r>
        <w:rPr>
          <w:rFonts w:hint="eastAsia"/>
          <w:b w:val="0"/>
          <w:bCs w:val="0"/>
          <w:lang w:val="en-US" w:eastAsia="zh-CN"/>
        </w:rPr>
        <w:t>合理安置</w:t>
      </w:r>
      <w:r>
        <w:rPr>
          <w:rFonts w:hint="default"/>
          <w:b w:val="0"/>
          <w:bCs w:val="0"/>
          <w:lang w:val="en-US" w:eastAsia="zh-CN"/>
        </w:rPr>
        <w:t>，投资规模</w:t>
      </w:r>
      <w:r>
        <w:rPr>
          <w:rFonts w:hint="eastAsia"/>
          <w:b w:val="0"/>
          <w:bCs w:val="0"/>
          <w:lang w:val="en-US" w:eastAsia="zh-CN"/>
        </w:rPr>
        <w:t>向百</w:t>
      </w:r>
      <w:r>
        <w:rPr>
          <w:rFonts w:hint="default"/>
          <w:b w:val="0"/>
          <w:bCs w:val="0"/>
          <w:lang w:val="en-US" w:eastAsia="zh-CN"/>
        </w:rPr>
        <w:t>万元 / 所</w:t>
      </w:r>
      <w:r>
        <w:rPr>
          <w:rFonts w:hint="eastAsia"/>
          <w:b w:val="0"/>
          <w:bCs w:val="0"/>
          <w:lang w:val="en-US" w:eastAsia="zh-CN"/>
        </w:rPr>
        <w:t>提升</w:t>
      </w:r>
      <w:r>
        <w:rPr>
          <w:rFonts w:hint="default"/>
          <w:b w:val="0"/>
          <w:bCs w:val="0"/>
          <w:lang w:val="en-US" w:eastAsia="zh-CN"/>
        </w:rPr>
        <w:t>，优先保障失能群体专业照护需求；</w:t>
      </w:r>
    </w:p>
    <w:p w14:paraId="5EA6CD3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配套支持：给予土地划拨、建设补贴</w:t>
      </w:r>
      <w:r>
        <w:rPr>
          <w:rFonts w:hint="eastAsia"/>
          <w:b w:val="0"/>
          <w:bCs w:val="0"/>
          <w:lang w:val="en-US" w:eastAsia="zh-CN"/>
        </w:rPr>
        <w:t>（依照</w:t>
      </w:r>
      <w:r>
        <w:rPr>
          <w:rFonts w:hint="default"/>
          <w:b w:val="0"/>
          <w:bCs w:val="0"/>
          <w:lang w:val="en-US" w:eastAsia="zh-CN"/>
        </w:rPr>
        <w:t>建设成本），并将机构纳入长期护理保险定点范围，确保运营可持续。</w:t>
      </w:r>
    </w:p>
    <w:p w14:paraId="7613A0E0">
      <w:pPr>
        <w:numPr>
          <w:ilvl w:val="0"/>
          <w:numId w:val="19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社区居家服务网络建设</w:t>
      </w:r>
      <w:r>
        <w:rPr>
          <w:rFonts w:hint="default"/>
          <w:b w:val="0"/>
          <w:bCs w:val="0"/>
          <w:lang w:val="en-US" w:eastAsia="zh-CN"/>
        </w:rPr>
        <w:t>：</w:t>
      </w:r>
    </w:p>
    <w:p w14:paraId="6876F63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基础服务点：按 </w:t>
      </w:r>
      <w:r>
        <w:rPr>
          <w:rFonts w:hint="eastAsia"/>
          <w:b w:val="0"/>
          <w:bCs w:val="0"/>
          <w:lang w:val="en-US" w:eastAsia="zh-CN"/>
        </w:rPr>
        <w:t>千名老人/1站</w:t>
      </w:r>
      <w:r>
        <w:rPr>
          <w:rFonts w:hint="default"/>
          <w:b w:val="0"/>
          <w:bCs w:val="0"/>
          <w:lang w:val="en-US" w:eastAsia="zh-CN"/>
        </w:rPr>
        <w:t xml:space="preserve"> 标准，建设社区助餐、助浴、上门护理服务站，单站投资</w:t>
      </w:r>
      <w:r>
        <w:rPr>
          <w:rFonts w:hint="eastAsia"/>
          <w:b w:val="0"/>
          <w:bCs w:val="0"/>
          <w:lang w:val="en-US" w:eastAsia="zh-CN"/>
        </w:rPr>
        <w:t>突破10</w:t>
      </w:r>
      <w:r>
        <w:rPr>
          <w:rFonts w:hint="default"/>
          <w:b w:val="0"/>
          <w:bCs w:val="0"/>
          <w:lang w:val="en-US" w:eastAsia="zh-CN"/>
        </w:rPr>
        <w:t>万元，覆盖 80% 以上街道 / 乡镇；</w:t>
      </w:r>
    </w:p>
    <w:p w14:paraId="2D257E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智能应急体系：搭建省级独居老人智能呼叫平台，为独居老人免费配备紧急呼叫设备，投资</w:t>
      </w:r>
      <w:r>
        <w:rPr>
          <w:rFonts w:hint="eastAsia"/>
          <w:b w:val="0"/>
          <w:bCs w:val="0"/>
          <w:lang w:val="en-US" w:eastAsia="zh-CN"/>
        </w:rPr>
        <w:t>五百</w:t>
      </w:r>
      <w:r>
        <w:rPr>
          <w:rFonts w:hint="default"/>
          <w:b w:val="0"/>
          <w:bCs w:val="0"/>
          <w:lang w:val="en-US" w:eastAsia="zh-CN"/>
        </w:rPr>
        <w:t>万元/省，实现应急响应 30 分钟内到位。</w:t>
      </w:r>
    </w:p>
    <w:p w14:paraId="188F3521">
      <w:pPr>
        <w:numPr>
          <w:ilvl w:val="0"/>
          <w:numId w:val="19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家庭照护支持工程：</w:t>
      </w:r>
    </w:p>
    <w:p w14:paraId="16755A2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适老化改造：为居家失能、独居老人提供免费适老化改造（安装扶手、防滑地板），每户</w:t>
      </w:r>
      <w:r>
        <w:rPr>
          <w:rFonts w:hint="eastAsia"/>
          <w:b w:val="0"/>
          <w:bCs w:val="0"/>
          <w:lang w:val="en-US" w:eastAsia="zh-CN"/>
        </w:rPr>
        <w:t>按照个人情况进行适当补贴</w:t>
      </w:r>
      <w:r>
        <w:rPr>
          <w:rFonts w:hint="default"/>
          <w:b w:val="0"/>
          <w:bCs w:val="0"/>
          <w:lang w:val="en-US" w:eastAsia="zh-CN"/>
        </w:rPr>
        <w:t>，覆盖</w:t>
      </w:r>
      <w:r>
        <w:rPr>
          <w:rFonts w:hint="eastAsia"/>
          <w:b w:val="0"/>
          <w:bCs w:val="0"/>
          <w:lang w:val="en-US" w:eastAsia="zh-CN"/>
        </w:rPr>
        <w:t>尽可能多的</w:t>
      </w:r>
      <w:r>
        <w:rPr>
          <w:rFonts w:hint="default"/>
          <w:b w:val="0"/>
          <w:bCs w:val="0"/>
          <w:lang w:val="en-US" w:eastAsia="zh-CN"/>
        </w:rPr>
        <w:t>目标家庭；</w:t>
      </w:r>
    </w:p>
    <w:p w14:paraId="6B71C2F7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照护补贴与培训：向失能老人家庭发放每月照护补贴，同时开展免费照护技能培训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5FF8CC5A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38D8A359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----私人资本投资：瞄准品质缺口，挖掘市场机会</w:t>
      </w:r>
    </w:p>
    <w:p w14:paraId="70F4299A">
      <w:pPr>
        <w:numPr>
          <w:ilvl w:val="0"/>
          <w:numId w:val="2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中高端护理机构运营：</w:t>
      </w:r>
    </w:p>
    <w:p w14:paraId="69278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服务定位：针对有支付能力的失能老人，提供 “医疗护理 + 康复训练 + 生活照料” 一体化服务，配备专业医护团队（护士、康复师）</w:t>
      </w:r>
      <w:r>
        <w:rPr>
          <w:rFonts w:hint="eastAsia"/>
          <w:lang w:val="en-US" w:eastAsia="zh-CN"/>
        </w:rPr>
        <w:t>。</w:t>
      </w:r>
    </w:p>
    <w:p w14:paraId="31FA49BE">
      <w:pPr>
        <w:numPr>
          <w:ilvl w:val="0"/>
          <w:numId w:val="2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社区嵌入式综合服务中心：</w:t>
      </w:r>
    </w:p>
    <w:p w14:paraId="6D1E4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服务组合：整合助餐、助浴、日间托养、老年学堂、健康管理等服务，打造 “一站式” 社区养老空间，面向</w:t>
      </w:r>
      <w:r>
        <w:rPr>
          <w:rFonts w:hint="eastAsia"/>
          <w:lang w:val="en-US" w:eastAsia="zh-CN"/>
        </w:rPr>
        <w:t>不同</w:t>
      </w:r>
      <w:r>
        <w:rPr>
          <w:rFonts w:hint="default"/>
          <w:lang w:val="en-US" w:eastAsia="zh-CN"/>
        </w:rPr>
        <w:t>独居老人推出</w:t>
      </w:r>
      <w:r>
        <w:rPr>
          <w:rFonts w:hint="eastAsia"/>
          <w:lang w:val="en-US" w:eastAsia="zh-CN"/>
        </w:rPr>
        <w:t>不同</w:t>
      </w:r>
      <w:r>
        <w:rPr>
          <w:rFonts w:hint="default"/>
          <w:lang w:val="en-US" w:eastAsia="zh-CN"/>
        </w:rPr>
        <w:t>服务套餐；</w:t>
      </w:r>
    </w:p>
    <w:p w14:paraId="3BB58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盈利点：服务收费 + 政府购买服务+ 老年用品销售</w:t>
      </w:r>
    </w:p>
    <w:p w14:paraId="340778A7">
      <w:pPr>
        <w:numPr>
          <w:ilvl w:val="0"/>
          <w:numId w:val="20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居家照护上门平台：</w:t>
      </w:r>
    </w:p>
    <w:p w14:paraId="3DFDA10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模式设计：搭建线上预约平台，整合专业护理员、康复师资源，提供 “按需上门” 的护理、康复、清洁等服务</w:t>
      </w:r>
      <w:r>
        <w:rPr>
          <w:rFonts w:hint="eastAsia"/>
          <w:lang w:val="en-US" w:eastAsia="zh-CN"/>
        </w:rPr>
        <w:t>。</w:t>
      </w:r>
    </w:p>
    <w:p w14:paraId="40F147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竞争优势：与政府智能呼叫平台对接，承接应急上门服务订单，同时通过会员</w:t>
      </w:r>
      <w:r>
        <w:rPr>
          <w:rFonts w:hint="eastAsia"/>
          <w:lang w:val="en-US" w:eastAsia="zh-CN"/>
        </w:rPr>
        <w:t>制</w:t>
      </w:r>
      <w:r>
        <w:rPr>
          <w:rFonts w:hint="default"/>
          <w:lang w:val="en-US" w:eastAsia="zh-CN"/>
        </w:rPr>
        <w:t>锁定长期客户，快速扩大市场份额。</w:t>
      </w:r>
    </w:p>
    <w:p w14:paraId="56591BDA">
      <w:pPr>
        <w:rPr>
          <w:rFonts w:hint="default"/>
          <w:lang w:val="en-US" w:eastAsia="zh-CN"/>
        </w:rPr>
      </w:pPr>
    </w:p>
    <w:p w14:paraId="7E7F94C1">
      <w:pPr>
        <w:pStyle w:val="10"/>
        <w:numPr>
          <w:ilvl w:val="0"/>
          <w:numId w:val="1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失能主导型地区：单需求突出，聚焦专业照护投资</w:t>
      </w:r>
    </w:p>
    <w:p w14:paraId="6B346F8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----政府公共投资：集中攻坚，破解失能护理瓶颈</w:t>
      </w:r>
    </w:p>
    <w:p w14:paraId="5EC59903">
      <w:pPr>
        <w:numPr>
          <w:ilvl w:val="0"/>
          <w:numId w:val="21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区域性失能护理中心建设：</w:t>
      </w:r>
    </w:p>
    <w:p w14:paraId="3B5DA35B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重点布局：在省会及重点地级市新建</w:t>
      </w:r>
      <w:r>
        <w:rPr>
          <w:rFonts w:hint="eastAsia"/>
          <w:b/>
          <w:bCs/>
          <w:lang w:val="en-US" w:eastAsia="zh-CN"/>
        </w:rPr>
        <w:t>大型失能护理中心</w:t>
      </w:r>
      <w:r>
        <w:rPr>
          <w:rFonts w:hint="eastAsia"/>
          <w:b w:val="0"/>
          <w:bCs w:val="0"/>
          <w:lang w:val="en-US" w:eastAsia="zh-CN"/>
        </w:rPr>
        <w:t>，配备专业医疗设备（呼吸机、康复训练仪）。</w:t>
      </w:r>
    </w:p>
    <w:p w14:paraId="5D98D38A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运营保障：纳入医保定点，对失能老人住院费用报销比例提高，降低患者负担。</w:t>
      </w:r>
    </w:p>
    <w:p w14:paraId="5774C697"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基层医疗机构护理能力升级：</w:t>
      </w:r>
    </w:p>
    <w:p w14:paraId="1A845A3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设备改造：为县、乡级医院加装护理床、心电监测仪等设备，对基层机构实行补贴，提升就近护理能力；</w:t>
      </w:r>
    </w:p>
    <w:p w14:paraId="53CB408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人才培养：与医学院校合作开展 “失能护理定向培养”，为基层医疗机构输送专业护理人才。</w:t>
      </w:r>
    </w:p>
    <w:p w14:paraId="5D4443F4">
      <w:pPr>
        <w:numPr>
          <w:ilvl w:val="0"/>
          <w:numId w:val="2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上门护理政府购买服务：</w:t>
      </w:r>
    </w:p>
    <w:p w14:paraId="11D97FBD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服务采购：通过公开招标，由专业养老机构承接居家失能老人上门护理服务，政府按标准付费；</w:t>
      </w:r>
    </w:p>
    <w:p w14:paraId="6A609EC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覆盖目标：每年按要求提高失能老人有效照料比例。</w:t>
      </w:r>
    </w:p>
    <w:p w14:paraId="65D86B8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4ECF1B7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----私人资本投资：深耕专业领域，打造差异化竞争力</w:t>
      </w:r>
    </w:p>
    <w:p w14:paraId="103633F2">
      <w:pPr>
        <w:numPr>
          <w:ilvl w:val="0"/>
          <w:numId w:val="22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专科护理院运营：</w:t>
      </w:r>
    </w:p>
    <w:p w14:paraId="5A451F24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细分方向：聚焦阿尔茨海默病、帕金森病等失能老人群体，打造专科护理院，提供针对性护理方案；</w:t>
      </w:r>
    </w:p>
    <w:p w14:paraId="177C0B38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核心投入：组建专业医护团队（神经科医生、专科护士），投入</w:t>
      </w:r>
      <w:r>
        <w:rPr>
          <w:rFonts w:hint="eastAsia"/>
          <w:b w:val="0"/>
          <w:bCs w:val="0"/>
          <w:lang w:val="en-US" w:eastAsia="zh-CN"/>
        </w:rPr>
        <w:t>专门经费</w:t>
      </w:r>
      <w:r>
        <w:rPr>
          <w:rFonts w:hint="default"/>
          <w:b w:val="0"/>
          <w:bCs w:val="0"/>
          <w:lang w:val="en-US" w:eastAsia="zh-CN"/>
        </w:rPr>
        <w:t>用于专科设备采购与环境改造，形成技术壁垒。</w:t>
      </w:r>
    </w:p>
    <w:p w14:paraId="3BE515BD">
      <w:pPr>
        <w:numPr>
          <w:ilvl w:val="0"/>
          <w:numId w:val="2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康复器械租赁与销售：</w:t>
      </w:r>
    </w:p>
    <w:p w14:paraId="431F6BD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产品选型：针对失能老人需求，提供轮椅、护理床、呼吸机等康复器械的租赁与销售服务，销售价格比市场价优惠</w:t>
      </w:r>
      <w:r>
        <w:rPr>
          <w:rFonts w:hint="eastAsia"/>
          <w:b w:val="0"/>
          <w:bCs w:val="0"/>
          <w:lang w:val="en-US" w:eastAsia="zh-CN"/>
        </w:rPr>
        <w:t>--百分点。</w:t>
      </w:r>
    </w:p>
    <w:p w14:paraId="4FC970F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渠道合作：与政府建设的护理中心、基层医疗机构合作，设立器械展示点，同时提供免费送货、安装与维修服务，快速打开市场。</w:t>
      </w:r>
    </w:p>
    <w:p w14:paraId="72B165D9">
      <w:pPr>
        <w:numPr>
          <w:ilvl w:val="0"/>
          <w:numId w:val="22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远程医疗与护理咨询服务：</w:t>
      </w:r>
    </w:p>
    <w:p w14:paraId="256AFF03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服务内容：联合三甲医院专家，为失能老人提供远程病情诊断、护理方案指导、用药咨询等服务</w:t>
      </w:r>
      <w:r>
        <w:rPr>
          <w:rFonts w:hint="eastAsia"/>
          <w:b w:val="0"/>
          <w:bCs w:val="0"/>
          <w:lang w:val="en-US" w:eastAsia="zh-CN"/>
        </w:rPr>
        <w:t>；</w:t>
      </w:r>
    </w:p>
    <w:p w14:paraId="357952BB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落地方式：与当地护理机构合作，在机构内设置远程咨询点，同时开发线上小程序，方便家属随时预约，年服务量可达</w:t>
      </w:r>
      <w:r>
        <w:rPr>
          <w:rFonts w:hint="eastAsia"/>
          <w:b w:val="0"/>
          <w:bCs w:val="0"/>
          <w:lang w:val="en-US" w:eastAsia="zh-CN"/>
        </w:rPr>
        <w:t>--</w:t>
      </w:r>
      <w:r>
        <w:rPr>
          <w:rFonts w:hint="default"/>
          <w:b w:val="0"/>
          <w:bCs w:val="0"/>
          <w:lang w:val="en-US" w:eastAsia="zh-CN"/>
        </w:rPr>
        <w:t>万人次。</w:t>
      </w:r>
    </w:p>
    <w:p w14:paraId="348E728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4325D184">
      <w:pPr>
        <w:pStyle w:val="10"/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基础需求型地区：需求均衡，侧重品质升级与细分场景投资</w:t>
      </w:r>
    </w:p>
    <w:p w14:paraId="0C1A125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----政府公共投资：优化服务结构，提升普惠服务质量</w:t>
      </w:r>
    </w:p>
    <w:p w14:paraId="4F4D56CE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现有机构品质升级补贴：</w:t>
      </w:r>
    </w:p>
    <w:p w14:paraId="07161E8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支持方向：对现有养老机构进行智能化改造（加装智能监测、呼叫系统）、环境美化（改善居住条件），按改造费用给予补贴；</w:t>
      </w:r>
    </w:p>
    <w:p w14:paraId="5A577F8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考核标准：改造后机构服务满意度需达--分以上，护理型床位占比提升至--百分点以上。</w:t>
      </w:r>
    </w:p>
    <w:p w14:paraId="1E464576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精神慰藉与文化服务供给：</w:t>
      </w:r>
    </w:p>
    <w:p w14:paraId="0C637276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项目支持：资助社区开展老年书法、舞蹈、智能手机培训等文娱活动，每个项目按许需求补贴，年覆盖百场以上活动；</w:t>
      </w:r>
    </w:p>
    <w:p w14:paraId="2626EA25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阵地建设：在社区服务站增设老年阅览室、活动教室，满足老人精神文化需求。</w:t>
      </w:r>
    </w:p>
    <w:p w14:paraId="68F3BDE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普惠型智能养老推广：</w:t>
      </w:r>
    </w:p>
    <w:p w14:paraId="14FBF6F7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设备补贴：为独居、空巢老人提供低成本智能手环（定位、紧急呼叫功能），政府补贴设备费用；</w:t>
      </w:r>
    </w:p>
    <w:p w14:paraId="01782CE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平台搭建：整合智能设备数据，建立区域养老服务大数据平台，实现需求精准对接与服务监管。</w:t>
      </w:r>
    </w:p>
    <w:p w14:paraId="74BD08BC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21BDC733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----私人资本投资：挖掘中高端需求，拓展细分市场</w:t>
      </w:r>
    </w:p>
    <w:p w14:paraId="2BEDC43D">
      <w:pPr>
        <w:numPr>
          <w:ilvl w:val="0"/>
          <w:numId w:val="23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高端康养社区运营：</w:t>
      </w:r>
    </w:p>
    <w:p w14:paraId="392E3A2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服务定位：面向健康、半失能老人，打造 “居住 + 健康管理 + 文娱 + 旅居” 一体化康养社区，配备营养师、康复师、文娱导师</w:t>
      </w:r>
      <w:r>
        <w:rPr>
          <w:rFonts w:hint="eastAsia"/>
          <w:b w:val="0"/>
          <w:bCs w:val="0"/>
          <w:lang w:val="en-US" w:eastAsia="zh-CN"/>
        </w:rPr>
        <w:t>等</w:t>
      </w:r>
      <w:r>
        <w:rPr>
          <w:rFonts w:hint="default"/>
          <w:b w:val="0"/>
          <w:bCs w:val="0"/>
          <w:lang w:val="en-US" w:eastAsia="zh-CN"/>
        </w:rPr>
        <w:t>；</w:t>
      </w:r>
    </w:p>
    <w:p w14:paraId="75073CD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投资规模：选址城市近郊，通过会员制+ 月费模式回收资金。</w:t>
      </w:r>
    </w:p>
    <w:p w14:paraId="580E574C">
      <w:pPr>
        <w:numPr>
          <w:ilvl w:val="0"/>
          <w:numId w:val="23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老年健康管理中心：</w:t>
      </w:r>
    </w:p>
    <w:p w14:paraId="4AE8491D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服务内容：提供体检、慢性病管理、中医理疗、健康咨询等服务，推出</w:t>
      </w:r>
      <w:r>
        <w:rPr>
          <w:rFonts w:hint="eastAsia"/>
          <w:b w:val="0"/>
          <w:bCs w:val="0"/>
          <w:lang w:val="en-US" w:eastAsia="zh-CN"/>
        </w:rPr>
        <w:t>如年、季等</w:t>
      </w:r>
      <w:r>
        <w:rPr>
          <w:rFonts w:hint="default"/>
          <w:b w:val="0"/>
          <w:bCs w:val="0"/>
          <w:lang w:val="en-US" w:eastAsia="zh-CN"/>
        </w:rPr>
        <w:t>会员套餐；</w:t>
      </w:r>
    </w:p>
    <w:p w14:paraId="6C00BB5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合作模式：与三甲医院建立绿色转诊通道，同时接入商业保险，为会员提供保险报销优惠</w:t>
      </w:r>
    </w:p>
    <w:p w14:paraId="51F0F579">
      <w:pPr>
        <w:numPr>
          <w:ilvl w:val="0"/>
          <w:numId w:val="23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细分场景服务（如老年教育、旅居养老）</w:t>
      </w:r>
      <w:r>
        <w:rPr>
          <w:rFonts w:hint="default"/>
          <w:b w:val="0"/>
          <w:bCs w:val="0"/>
          <w:lang w:val="en-US" w:eastAsia="zh-CN"/>
        </w:rPr>
        <w:t>：</w:t>
      </w:r>
    </w:p>
    <w:p w14:paraId="5F114B2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老年教育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开设书法、绘画、乐器、短视频制作等课程，采用 “线上 + 线下” 结合模式；</w:t>
      </w:r>
    </w:p>
    <w:p w14:paraId="593E55F2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旅居养老：整合周边景区、酒店资源，推出 “短途康养旅居” 产品，包含住宿、餐饮、健康讲座、景区游览。</w:t>
      </w:r>
    </w:p>
    <w:p w14:paraId="59A8718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六、结论</w:t>
      </w:r>
    </w:p>
    <w:p w14:paraId="0FC69BA5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（一）核心研究发现</w:t>
      </w:r>
    </w:p>
    <w:p w14:paraId="33E3C4C3">
      <w:pPr>
        <w:pStyle w:val="7"/>
        <w:bidi w:val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本研究基于 4 类官方结构化数据集，通过多维度数据分析、加权模型评估与 K-means 聚类挖掘，系统揭示了我国养老需求与资源匹配的核心特征，得出以下关键结论：</w:t>
      </w:r>
    </w:p>
    <w:p w14:paraId="4B71B266">
      <w:pPr>
        <w:pStyle w:val="7"/>
        <w:numPr>
          <w:ilvl w:val="0"/>
          <w:numId w:val="24"/>
        </w:numPr>
        <w:bidi w:val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区域养老压力呈现 “规模分化 + 结构失衡” 双重特征</w:t>
      </w:r>
    </w:p>
    <w:p w14:paraId="3367B531">
      <w:pPr>
        <w:pStyle w:val="7"/>
        <w:numPr>
          <w:ilvl w:val="0"/>
          <w:numId w:val="0"/>
        </w:numPr>
        <w:bidi w:val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我国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老年人口规模区域差距达 73 倍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，四川、山东、江苏、河南四大人口大省构成养老服务 “核心压力区”，老年人口总量均突破 1200 万，叠加每万老人机构数仅 22 个左右的供给缺口，形成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“总量需求大 + 人均资源少”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的突出矛盾；而西藏、青海等西部省份虽老年人口规模小，但失能占比偏高，存在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“小众刚需 + 资源分散”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的局部压力。养老资源配置与人口规模无直接关联，重庆、天津等小省份人均机构数充足，而江苏等发达省份人均配置反而偏低，反映出资源布局与需求脱节的问题。</w:t>
      </w:r>
    </w:p>
    <w:p w14:paraId="5DCD0076">
      <w:pPr>
        <w:pStyle w:val="7"/>
        <w:numPr>
          <w:ilvl w:val="0"/>
          <w:numId w:val="24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老年群体需求分化显著，“失能 + 独居” 双重脆弱群体为核心刚需</w:t>
      </w:r>
    </w:p>
    <w:p w14:paraId="40D738A1">
      <w:pPr>
        <w:pStyle w:val="7"/>
        <w:bidi w:val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婚姻状况与老年健康强相关，丧偶老人失能占比达 18.4%，是有配偶群体的 4.5 倍，成为照护核心重点；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未婚、离婚老人失能风险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也显著高于有配偶群体，个性化照护需求突出。区域层面，31 省市可划分为三类需求类型：双高需求型（7 省）面临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“失能 + 独居” 双重缺口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，失能主导型（12 省）聚焦专业护理刚需，基础需求型（12 省）侧重普惠服务品质升级，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不同类型省份的需求痛点与资源缺口差异显著。</w:t>
      </w:r>
    </w:p>
    <w:p w14:paraId="1F90AA40">
      <w:pPr>
        <w:pStyle w:val="7"/>
        <w:numPr>
          <w:ilvl w:val="0"/>
          <w:numId w:val="24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供需错配问题突出，资源配置精准度亟待提升</w:t>
      </w:r>
    </w:p>
    <w:p w14:paraId="45EC000F">
      <w:pPr>
        <w:pStyle w:val="7"/>
        <w:bidi w:val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从加权模型排名看，高优先级省份（10 省）普遍存在 “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失能占比高 + 机构供给少 + 老年人口多” 的三重特征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，资源缺口全面且迫切；中低优先级省份则呈现 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“供给充足但结构不合理” 或 “需求较小但资源冗余” 的问题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。K-means 聚类进一步验证，即使同属高优先级省份，服务需求方向也可能完全不同，单一化资源配置模式难以适配差异化需求。</w:t>
      </w:r>
    </w:p>
    <w:p w14:paraId="0739B71F">
      <w:pPr>
        <w:pStyle w:val="7"/>
        <w:numPr>
          <w:ilvl w:val="0"/>
          <w:numId w:val="24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政策与市场协同空间广阔，差异化投资逻辑清晰</w:t>
      </w:r>
    </w:p>
    <w:p w14:paraId="5AA2865B">
      <w:pPr>
        <w:pStyle w:val="7"/>
        <w:bidi w:val="0"/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政府公共投资需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聚焦高需求区域的基础保障，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如双高需求型省份的护理机构建设与智能应急体系搭建；</w:t>
      </w:r>
      <w:r>
        <w:rPr>
          <w:rFonts w:hint="eastAsia" w:ascii="宋体" w:hAnsi="宋体" w:eastAsia="宋体" w:cs="宋体"/>
          <w:b/>
          <w:bCs w:val="0"/>
          <w:sz w:val="21"/>
          <w:szCs w:val="21"/>
          <w:lang w:val="en-US" w:eastAsia="zh-CN"/>
        </w:rPr>
        <w:t>私人资本则可挖掘细分市场机会</w:t>
      </w:r>
      <w:r>
        <w:rPr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，如双高需求型省份的中高端护理服务、基础需求型省份的健康管理与旅居养老产品。跨区域资源联动、动态监测平台等机制创新，成为破解供需错配的关键路径。</w:t>
      </w:r>
    </w:p>
    <w:p w14:paraId="0D688272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（二）研究局限与未来展望</w:t>
      </w:r>
    </w:p>
    <w:p w14:paraId="0EFEDCBB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研究局限</w:t>
      </w:r>
    </w:p>
    <w:p w14:paraId="47C397F6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数据维度有限</w:t>
      </w:r>
      <w:r>
        <w:rPr>
          <w:rFonts w:hint="eastAsia"/>
          <w:lang w:val="en-US" w:eastAsia="zh-CN"/>
        </w:rPr>
        <w:t>：未纳入老年人口收入水平、城乡差异、社区服务设施覆盖率等指标，难以深入分析多重因素对养老供需匹配的综合影响；</w:t>
      </w:r>
    </w:p>
    <w:p w14:paraId="321035F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缺乏动态分析：</w:t>
      </w:r>
      <w:r>
        <w:rPr>
          <w:rFonts w:hint="eastAsia"/>
          <w:lang w:val="en-US" w:eastAsia="zh-CN"/>
        </w:rPr>
        <w:t>基于截面数据开展研究，未能反映老年人口规模、失能风险、资源配置的时间演变趋势，无法揭示老龄化进程中供需关系的长期变化规律；</w:t>
      </w:r>
    </w:p>
    <w:p w14:paraId="50294E0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区域细节不足：</w:t>
      </w:r>
      <w:r>
        <w:rPr>
          <w:rFonts w:hint="eastAsia"/>
          <w:lang w:val="en-US" w:eastAsia="zh-CN"/>
        </w:rPr>
        <w:t>未下沉至市、县维度，对省份内部不同区域的供需差异刻画不够精准，难以支撑微观层面的资源配置决策。</w:t>
      </w:r>
    </w:p>
    <w:p w14:paraId="572F56BA">
      <w:pPr>
        <w:rPr>
          <w:rFonts w:hint="eastAsia"/>
          <w:lang w:val="en-US" w:eastAsia="zh-CN"/>
        </w:rPr>
      </w:pPr>
    </w:p>
    <w:p w14:paraId="3C1BE532">
      <w:pPr>
        <w:pStyle w:val="1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未来展望</w:t>
      </w:r>
    </w:p>
    <w:p w14:paraId="7A2946B5">
      <w:pPr>
        <w:rPr>
          <w:rFonts w:hint="eastAsia"/>
          <w:lang w:val="en-US" w:eastAsia="zh-CN"/>
        </w:rPr>
      </w:pPr>
      <w:r>
        <w:rPr>
          <w:rFonts w:hint="eastAsia"/>
          <w:b/>
          <w:bCs/>
          <w:i w:val="0"/>
          <w:iCs w:val="0"/>
          <w:lang w:val="en-US" w:eastAsia="zh-CN"/>
        </w:rPr>
        <w:t>丰富数据维度</w:t>
      </w:r>
      <w:r>
        <w:rPr>
          <w:rFonts w:hint="eastAsia"/>
          <w:lang w:val="en-US" w:eastAsia="zh-CN"/>
        </w:rPr>
        <w:t>：整合老年人口收入、城乡分布、医疗资源可及性、养老服务价格等数据，构建更全面的需求评估体系，提升分析的深度与针对性；</w:t>
      </w:r>
    </w:p>
    <w:p w14:paraId="1A023DB4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开展动态追踪：</w:t>
      </w:r>
      <w:r>
        <w:rPr>
          <w:rFonts w:hint="eastAsia"/>
          <w:lang w:val="en-US" w:eastAsia="zh-CN"/>
        </w:rPr>
        <w:t>收集 2020-2025 年多年度数据，分析养老需求与资源配置的变化规律，识别供需关系演变趋势，为长期政策规划提供支撑；</w:t>
      </w:r>
    </w:p>
    <w:p w14:paraId="312E77A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细化区域分析：</w:t>
      </w:r>
      <w:r>
        <w:rPr>
          <w:rFonts w:hint="eastAsia"/>
          <w:lang w:val="en-US" w:eastAsia="zh-CN"/>
        </w:rPr>
        <w:t>结合 GIS 地理信息系统，下沉至市、县层面绘制养老需求与资源分布热力图，直观呈现微观区域的供需缺口，提升资源配置精准度；</w:t>
      </w:r>
    </w:p>
    <w:p w14:paraId="7C75976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强化实证验证：</w:t>
      </w:r>
      <w:r>
        <w:rPr>
          <w:rFonts w:hint="eastAsia"/>
          <w:lang w:val="en-US" w:eastAsia="zh-CN"/>
        </w:rPr>
        <w:t>通过实地调研、案例分析等方式，验证模型结论与实际供需情况的契合度，优化指标权重与聚类逻辑，提升研究成果的实践应用价值。</w:t>
      </w:r>
    </w:p>
    <w:p w14:paraId="7ACC62B7">
      <w:pPr>
        <w:pStyle w:val="5"/>
        <w:numPr>
          <w:ilvl w:val="0"/>
          <w:numId w:val="2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参考文献与附录</w:t>
      </w:r>
    </w:p>
    <w:p w14:paraId="27151E09">
      <w:pPr>
        <w:pStyle w:val="7"/>
        <w:numPr>
          <w:ilvl w:val="0"/>
          <w:numId w:val="2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参考文献</w:t>
      </w:r>
    </w:p>
    <w:p w14:paraId="37A8DED1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国家统计局。《中国人口普查年鉴 2020》</w:t>
      </w:r>
    </w:p>
    <w:p w14:paraId="54EF64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8-1 各地区分性别、健康状况的60岁及以上老年人口</w:t>
      </w:r>
    </w:p>
    <w:p w14:paraId="5561E8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8-3 全国分性别、婚姻状况、健康状况的60岁及以上老年人口</w:t>
      </w:r>
    </w:p>
    <w:p w14:paraId="784745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8-5 全国分性别、居住状况、健康状况的60岁及以上老年人口</w:t>
      </w:r>
    </w:p>
    <w:p w14:paraId="4A1E6B0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6E9458">
      <w:pPr>
        <w:numPr>
          <w:ilvl w:val="0"/>
          <w:numId w:val="2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中国老龄科学研究中心。《第五次中国城乡老年人生活状况抽样调查基本数据公报》</w:t>
      </w:r>
    </w:p>
    <w:p w14:paraId="54EFA3DE">
      <w:pPr>
        <w:numPr>
          <w:ilvl w:val="0"/>
          <w:numId w:val="2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全国养老服务信息平台。养老地图GS（2024）0568号 - 甲测资字1100471</w:t>
      </w:r>
    </w:p>
    <w:p w14:paraId="32859D69">
      <w:pPr>
        <w:pStyle w:val="7"/>
        <w:numPr>
          <w:ilvl w:val="0"/>
          <w:numId w:val="2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</w:t>
      </w:r>
    </w:p>
    <w:p w14:paraId="51F7D651">
      <w:pPr>
        <w:pStyle w:val="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附录1：原始数据集字段说明表</w:t>
      </w:r>
    </w:p>
    <w:tbl>
      <w:tblPr>
        <w:tblStyle w:val="12"/>
        <w:tblW w:w="90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1396"/>
        <w:gridCol w:w="2604"/>
        <w:gridCol w:w="765"/>
      </w:tblGrid>
      <w:tr w14:paraId="2145E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216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4D503B8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数据集名称</w:t>
            </w:r>
          </w:p>
        </w:tc>
        <w:tc>
          <w:tcPr>
            <w:tcW w:w="16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78CF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  <w:t>字段名称</w:t>
            </w:r>
          </w:p>
        </w:tc>
        <w:tc>
          <w:tcPr>
            <w:tcW w:w="31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A28A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  <w:t>字段含义</w:t>
            </w:r>
          </w:p>
        </w:tc>
        <w:tc>
          <w:tcPr>
            <w:tcW w:w="86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C23F3D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数据类型</w:t>
            </w:r>
          </w:p>
        </w:tc>
      </w:tr>
      <w:tr w14:paraId="1642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74693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家庭结构数据集（文件名：province_single_elderly.csv）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C5D5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地区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F8FF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省级行政区名称（不含全国 / 总计行）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B63A83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字符串</w:t>
            </w:r>
          </w:p>
        </w:tc>
      </w:tr>
      <w:tr w14:paraId="4F6D5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97793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51059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单身老人户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D6CA2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65 岁及以上老年人口的单身家庭户数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002894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38B76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473C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color w:val="00000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F80A0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家庭户总数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F710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该省份所有家庭户总数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1926EE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整数</w:t>
            </w:r>
          </w:p>
        </w:tc>
      </w:tr>
      <w:tr w14:paraId="0B821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AD6E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471A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单身户占比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A0C9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衍生字段（手动计算）：单身老人户 / 家庭户总数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D549C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default" w:ascii="宋体" w:eastAsia="宋体"/>
                <w:b w:val="0"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浮点数</w:t>
            </w:r>
          </w:p>
        </w:tc>
      </w:tr>
      <w:tr w14:paraId="5C51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10737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健康状况数据集（文件名：province_elderly_health.csv）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2B05E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地区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C75A4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省级行政区名称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AA2B92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字符串</w:t>
            </w:r>
          </w:p>
        </w:tc>
      </w:tr>
      <w:tr w14:paraId="5FB23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86C5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C4AFE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60 岁及以上合计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72A6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60 岁及以上老年人口总数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054FFB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整数</w:t>
            </w:r>
          </w:p>
        </w:tc>
      </w:tr>
      <w:tr w14:paraId="2F60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E405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C141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生活不能自理男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1CA7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60 岁及以上生活不能自理的男性老年人口数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583A98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4D284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D3DD9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4DC8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生活不能自理女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70981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60 岁及以上生活不能自理的女性老年人口数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0DDF7E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64B83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0C11D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5197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不能自理总人数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3549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衍生字段：生活不能自理男 + 生活不能自理女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75ACF8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63DE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27E7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AF201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不能自理占比 (%)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B85B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衍生字段：不能自理总人数 / 60 岁及以上合计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A799A0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浮点数</w:t>
            </w:r>
          </w:p>
        </w:tc>
      </w:tr>
      <w:tr w14:paraId="1C92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F321C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养老资源数据集（文件名：province_elderly_institution.csv）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4CD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地区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33D0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省级行政区名称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B2B87A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字符串</w:t>
            </w:r>
          </w:p>
        </w:tc>
      </w:tr>
      <w:tr w14:paraId="6584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C721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88E71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养老机构数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0ACF9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该省份备案的养老机构总数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2E1181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45CEE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694C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3FCC5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老年助餐点数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1358E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社区老年助餐服务点位数量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BDE12A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1A875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25BFD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EDEFE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每万老人机构数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88D6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衍生字段：养老机构数 /(60 岁及以上合计 / 10000)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8ACDA2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浮点数</w:t>
            </w:r>
          </w:p>
        </w:tc>
      </w:tr>
      <w:tr w14:paraId="47FB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564B8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婚姻与健康数据集（文件名：marriage_elderly_health.csv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870AD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婚姻状况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25EB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老年人口婚姻类型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B073E8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字符串</w:t>
            </w:r>
          </w:p>
        </w:tc>
      </w:tr>
      <w:tr w14:paraId="739F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46AA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DE1C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健康人数男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6356B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该婚姻状况下健康的男性老年人口数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7EE0C3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3180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D84B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055D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健康人数女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DBB1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该婚姻状况下健康的女性老年人口数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85AEC5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4C9F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11A9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330F4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健康人数合计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417E6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衍生字段：健康人数男 + 健康人数女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C1D1F9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整数</w:t>
            </w:r>
          </w:p>
        </w:tc>
      </w:tr>
      <w:tr w14:paraId="738B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07778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365F4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不能自理人数男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38F2E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该婚姻状况下不能自理的男性老年人口数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76F657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5029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118D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FED15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不能自理人数女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35E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该婚姻状况下不能自理的女性老年人口数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1EAF50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整数</w:t>
            </w:r>
          </w:p>
        </w:tc>
      </w:tr>
      <w:tr w14:paraId="4C98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88692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2189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不能自理人数合计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E8E8CE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衍生字段：不能自理人数男 + 不能自理人数女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2BA720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color w:val="000000"/>
                <w:sz w:val="24"/>
                <w:szCs w:val="24"/>
              </w:rPr>
              <w:t>整数</w:t>
            </w:r>
          </w:p>
        </w:tc>
      </w:tr>
      <w:tr w14:paraId="458F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216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9F7769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22BA76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不能自理占比 (%)</w:t>
            </w:r>
          </w:p>
        </w:tc>
        <w:tc>
          <w:tcPr>
            <w:tcW w:w="31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F67321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衍生字段：不能自理人数合计 /（健康 + 不能自理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C6B9A92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  <w:szCs w:val="24"/>
              </w:rPr>
              <w:t>浮点数</w:t>
            </w:r>
          </w:p>
        </w:tc>
      </w:tr>
    </w:tbl>
    <w:p w14:paraId="38DC23E7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原始数据链接：</w:t>
      </w:r>
    </w:p>
    <w:p w14:paraId="1BB24765">
      <w:pPr>
        <w:numPr>
          <w:ilvl w:val="0"/>
          <w:numId w:val="28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家庭结构数据集</w:t>
      </w:r>
      <w:r>
        <w:rPr>
          <w:rFonts w:hint="eastAsia" w:ascii="宋体" w:hAnsi="宋体" w:eastAsia="宋体" w:cs="宋体"/>
          <w:b w:val="0"/>
          <w:color w:val="00000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"https://www.stats.gov.cn/sj/pcsj/rkpc/6rp/html/A0505a.htm"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stats.gov.cn/sj/pcsj/rkpc/6rp/html/A0505a.htm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7498296">
      <w:pPr>
        <w:numPr>
          <w:ilvl w:val="0"/>
          <w:numId w:val="28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000000"/>
          <w:sz w:val="24"/>
          <w:szCs w:val="24"/>
          <w:lang w:val="en-US" w:eastAsia="zh-CN"/>
        </w:rPr>
        <w:t>婚姻与健康</w:t>
      </w:r>
      <w:r>
        <w:rPr>
          <w:rFonts w:ascii="宋体" w:hAnsi="宋体" w:eastAsia="宋体" w:cs="宋体"/>
          <w:b w:val="0"/>
          <w:color w:val="000000"/>
          <w:sz w:val="24"/>
          <w:szCs w:val="24"/>
        </w:rPr>
        <w:t>状况数据集</w:t>
      </w:r>
      <w:r>
        <w:rPr>
          <w:rFonts w:hint="eastAsia" w:ascii="宋体" w:hAnsi="宋体" w:eastAsia="宋体" w:cs="宋体"/>
          <w:b w:val="0"/>
          <w:color w:val="000000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"https://www.stats.gov.cn/sj/pcsj/rkpc/6rp/html/B0803a.htm"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ascii="宋体" w:hAnsi="宋体" w:eastAsia="宋体" w:cs="宋体"/>
          <w:sz w:val="24"/>
          <w:szCs w:val="24"/>
        </w:rPr>
        <w:t>stats.gov.cn/sj/pcsj/rkpc/6rp/html/B0803a.htm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06E63DF"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以上数据出于《2020年中国人口普查年鉴》（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u w:val="single"/>
        </w:rPr>
        <w:t>https://www.stats.gov.cn/sj/pcsj/rkpc/7rp/zk/indexch.</w:t>
      </w:r>
      <w:r>
        <w:rPr>
          <w:rFonts w:hint="eastAsia" w:ascii="宋体" w:hAnsi="宋体" w:eastAsia="宋体" w:cs="宋体"/>
          <w:color w:val="0000FF"/>
          <w:sz w:val="24"/>
          <w:szCs w:val="24"/>
          <w:highlight w:val="none"/>
          <w:u w:val="single"/>
          <w:lang w:val="en-US" w:eastAsia="zh-CN"/>
        </w:rPr>
        <w:t>htm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782A8297">
      <w:pPr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45FDEA">
      <w:pPr>
        <w:numPr>
          <w:ilvl w:val="0"/>
          <w:numId w:val="28"/>
        </w:numPr>
        <w:ind w:left="0" w:leftChars="0" w:firstLine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color w:val="000000"/>
          <w:sz w:val="24"/>
          <w:szCs w:val="24"/>
        </w:rPr>
        <w:t>养老资源数据集</w:t>
      </w:r>
      <w:r>
        <w:rPr>
          <w:rFonts w:hint="eastAsia" w:ascii="宋体" w:hAnsi="宋体" w:eastAsia="宋体" w:cs="宋体"/>
          <w:b w:val="0"/>
          <w:color w:val="00000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color w:val="0000FF"/>
          <w:sz w:val="24"/>
          <w:szCs w:val="24"/>
          <w:u w:val="single"/>
        </w:rPr>
        <w:t>https://yanglao.mca.gov.cn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（首页）</w:t>
      </w:r>
    </w:p>
    <w:p w14:paraId="284EC8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E20EFD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其余关键数据支撑出于：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"http://www.crca.cn/index.php/19-data-resource/life/1117-2024-10-17-08-01-05.html"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eastAsia="宋体" w:cs="宋体"/>
          <w:sz w:val="24"/>
          <w:szCs w:val="24"/>
          <w:lang w:val="en-US" w:eastAsia="zh-CN"/>
        </w:rPr>
        <w:t>http://www.crca.cn/index.php/19-data-resource/life/1117-2024-10-17-08-01-05.html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(</w: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"http://www.crca.cn/index.php/19-data-resource/life/1117-2024-10-17-08-01-05.html" </w:instrTex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5"/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t>中国老龄科学研究中心 - 第五次中国城乡老年人生活状况抽样调查基本数据公报</w:t>
      </w:r>
      <w:r>
        <w:rPr>
          <w:rFonts w:ascii="宋体" w:hAnsi="宋体" w:eastAsia="宋体" w:cs="宋体"/>
          <w:color w:val="000000" w:themeColor="text1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54824E82">
      <w:pPr>
        <w:pStyle w:val="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附录2：核心指标计算及可视化图表代码</w:t>
      </w:r>
    </w:p>
    <w:p w14:paraId="5F72D5B8">
      <w:r>
        <w:drawing>
          <wp:inline distT="0" distB="0" distL="114300" distR="114300">
            <wp:extent cx="5268595" cy="3469005"/>
            <wp:effectExtent l="0" t="0" r="190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B786D"/>
    <w:p w14:paraId="1313295E">
      <w:r>
        <w:drawing>
          <wp:inline distT="0" distB="0" distL="114300" distR="114300">
            <wp:extent cx="5269230" cy="1640840"/>
            <wp:effectExtent l="0" t="0" r="127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B126">
      <w:r>
        <w:drawing>
          <wp:inline distT="0" distB="0" distL="114300" distR="114300">
            <wp:extent cx="5271135" cy="3645535"/>
            <wp:effectExtent l="0" t="0" r="12065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188C">
      <w:r>
        <w:drawing>
          <wp:inline distT="0" distB="0" distL="114300" distR="114300">
            <wp:extent cx="5269230" cy="4522470"/>
            <wp:effectExtent l="0" t="0" r="1270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4DF1">
      <w:r>
        <w:drawing>
          <wp:inline distT="0" distB="0" distL="114300" distR="114300">
            <wp:extent cx="5270500" cy="444500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D0AC7">
      <w:r>
        <w:drawing>
          <wp:inline distT="0" distB="0" distL="114300" distR="114300">
            <wp:extent cx="5266690" cy="4375785"/>
            <wp:effectExtent l="0" t="0" r="381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BD2D">
      <w:r>
        <w:drawing>
          <wp:inline distT="0" distB="0" distL="114300" distR="114300">
            <wp:extent cx="5264785" cy="3683635"/>
            <wp:effectExtent l="0" t="0" r="5715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3C41">
      <w:r>
        <w:drawing>
          <wp:inline distT="0" distB="0" distL="114300" distR="114300">
            <wp:extent cx="5261610" cy="3345815"/>
            <wp:effectExtent l="0" t="0" r="8890" b="698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0348">
      <w:r>
        <w:drawing>
          <wp:inline distT="0" distB="0" distL="114300" distR="114300">
            <wp:extent cx="5267325" cy="2330450"/>
            <wp:effectExtent l="0" t="0" r="3175" b="635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6CAE">
      <w:r>
        <w:drawing>
          <wp:inline distT="0" distB="0" distL="114300" distR="114300">
            <wp:extent cx="5261610" cy="3710940"/>
            <wp:effectExtent l="0" t="0" r="8890" b="1016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5DB99"/>
    <w:p w14:paraId="4DBEA6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17E82"/>
    <w:multiLevelType w:val="singleLevel"/>
    <w:tmpl w:val="8E517E8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3860DEC"/>
    <w:multiLevelType w:val="singleLevel"/>
    <w:tmpl w:val="93860DE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27E43CC"/>
    <w:multiLevelType w:val="singleLevel"/>
    <w:tmpl w:val="A27E43CC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A31DEB0F"/>
    <w:multiLevelType w:val="singleLevel"/>
    <w:tmpl w:val="A31DEB0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D5ED2C8"/>
    <w:multiLevelType w:val="singleLevel"/>
    <w:tmpl w:val="AD5ED2C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B828C141"/>
    <w:multiLevelType w:val="singleLevel"/>
    <w:tmpl w:val="B828C14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C89A491C"/>
    <w:multiLevelType w:val="singleLevel"/>
    <w:tmpl w:val="C89A491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A14E864"/>
    <w:multiLevelType w:val="singleLevel"/>
    <w:tmpl w:val="CA14E864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CD909101"/>
    <w:multiLevelType w:val="singleLevel"/>
    <w:tmpl w:val="CD90910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D0F72322"/>
    <w:multiLevelType w:val="singleLevel"/>
    <w:tmpl w:val="D0F7232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0">
    <w:nsid w:val="D52071DB"/>
    <w:multiLevelType w:val="singleLevel"/>
    <w:tmpl w:val="D52071D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1">
    <w:nsid w:val="D76DEEB8"/>
    <w:multiLevelType w:val="singleLevel"/>
    <w:tmpl w:val="D76DEEB8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D93D8BF2"/>
    <w:multiLevelType w:val="singleLevel"/>
    <w:tmpl w:val="D93D8BF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E045E65"/>
    <w:multiLevelType w:val="singleLevel"/>
    <w:tmpl w:val="EE045E6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4">
    <w:nsid w:val="F55B846F"/>
    <w:multiLevelType w:val="singleLevel"/>
    <w:tmpl w:val="F55B846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F8787574"/>
    <w:multiLevelType w:val="singleLevel"/>
    <w:tmpl w:val="F878757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6">
    <w:nsid w:val="0314A105"/>
    <w:multiLevelType w:val="singleLevel"/>
    <w:tmpl w:val="0314A105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137DD87A"/>
    <w:multiLevelType w:val="singleLevel"/>
    <w:tmpl w:val="137DD87A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1EEA3FCC"/>
    <w:multiLevelType w:val="singleLevel"/>
    <w:tmpl w:val="1EEA3FCC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250212F6"/>
    <w:multiLevelType w:val="singleLevel"/>
    <w:tmpl w:val="250212F6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44488D2B"/>
    <w:multiLevelType w:val="singleLevel"/>
    <w:tmpl w:val="44488D2B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49650FB1"/>
    <w:multiLevelType w:val="singleLevel"/>
    <w:tmpl w:val="49650FB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4BE45EE4"/>
    <w:multiLevelType w:val="singleLevel"/>
    <w:tmpl w:val="4BE45EE4"/>
    <w:lvl w:ilvl="0" w:tentative="0">
      <w:start w:val="11"/>
      <w:numFmt w:val="upperLetter"/>
      <w:suff w:val="nothing"/>
      <w:lvlText w:val="%1-"/>
      <w:lvlJc w:val="left"/>
    </w:lvl>
  </w:abstractNum>
  <w:abstractNum w:abstractNumId="23">
    <w:nsid w:val="4EE678A3"/>
    <w:multiLevelType w:val="singleLevel"/>
    <w:tmpl w:val="4EE678A3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539D8C98"/>
    <w:multiLevelType w:val="singleLevel"/>
    <w:tmpl w:val="539D8C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5D30D20E"/>
    <w:multiLevelType w:val="singleLevel"/>
    <w:tmpl w:val="5D30D20E"/>
    <w:lvl w:ilvl="0" w:tentative="0">
      <w:start w:val="2"/>
      <w:numFmt w:val="decimal"/>
      <w:suff w:val="space"/>
      <w:lvlText w:val="%1."/>
      <w:lvlJc w:val="left"/>
    </w:lvl>
  </w:abstractNum>
  <w:abstractNum w:abstractNumId="26">
    <w:nsid w:val="70C70BEF"/>
    <w:multiLevelType w:val="multilevel"/>
    <w:tmpl w:val="70C70B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7597F827"/>
    <w:multiLevelType w:val="singleLevel"/>
    <w:tmpl w:val="7597F827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10"/>
  </w:num>
  <w:num w:numId="5">
    <w:abstractNumId w:val="17"/>
  </w:num>
  <w:num w:numId="6">
    <w:abstractNumId w:val="14"/>
  </w:num>
  <w:num w:numId="7">
    <w:abstractNumId w:val="16"/>
  </w:num>
  <w:num w:numId="8">
    <w:abstractNumId w:val="27"/>
  </w:num>
  <w:num w:numId="9">
    <w:abstractNumId w:val="13"/>
  </w:num>
  <w:num w:numId="10">
    <w:abstractNumId w:val="21"/>
  </w:num>
  <w:num w:numId="11">
    <w:abstractNumId w:val="6"/>
  </w:num>
  <w:num w:numId="12">
    <w:abstractNumId w:val="24"/>
  </w:num>
  <w:num w:numId="13">
    <w:abstractNumId w:val="3"/>
  </w:num>
  <w:num w:numId="14">
    <w:abstractNumId w:val="25"/>
  </w:num>
  <w:num w:numId="15">
    <w:abstractNumId w:val="26"/>
  </w:num>
  <w:num w:numId="16">
    <w:abstractNumId w:val="2"/>
  </w:num>
  <w:num w:numId="17">
    <w:abstractNumId w:val="22"/>
  </w:num>
  <w:num w:numId="18">
    <w:abstractNumId w:val="19"/>
  </w:num>
  <w:num w:numId="19">
    <w:abstractNumId w:val="1"/>
  </w:num>
  <w:num w:numId="20">
    <w:abstractNumId w:val="12"/>
  </w:num>
  <w:num w:numId="21">
    <w:abstractNumId w:val="4"/>
  </w:num>
  <w:num w:numId="22">
    <w:abstractNumId w:val="23"/>
  </w:num>
  <w:num w:numId="23">
    <w:abstractNumId w:val="18"/>
  </w:num>
  <w:num w:numId="24">
    <w:abstractNumId w:val="11"/>
  </w:num>
  <w:num w:numId="25">
    <w:abstractNumId w:val="0"/>
  </w:num>
  <w:num w:numId="26">
    <w:abstractNumId w:val="15"/>
  </w:num>
  <w:num w:numId="27">
    <w:abstractNumId w:val="8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823062"/>
    <w:rsid w:val="00B00BD6"/>
    <w:rsid w:val="00F036C9"/>
    <w:rsid w:val="04F80CDC"/>
    <w:rsid w:val="0673692E"/>
    <w:rsid w:val="076F3599"/>
    <w:rsid w:val="08033CE1"/>
    <w:rsid w:val="086F75C9"/>
    <w:rsid w:val="0A1160B7"/>
    <w:rsid w:val="0A6033E3"/>
    <w:rsid w:val="0C50326D"/>
    <w:rsid w:val="0D894C89"/>
    <w:rsid w:val="10702130"/>
    <w:rsid w:val="11F5250F"/>
    <w:rsid w:val="155A2E53"/>
    <w:rsid w:val="18562F63"/>
    <w:rsid w:val="1C406E5A"/>
    <w:rsid w:val="1DDA004B"/>
    <w:rsid w:val="21345964"/>
    <w:rsid w:val="21C10A3D"/>
    <w:rsid w:val="2AD16D61"/>
    <w:rsid w:val="2C7D37B3"/>
    <w:rsid w:val="2F8D1F5F"/>
    <w:rsid w:val="30076056"/>
    <w:rsid w:val="30FC739C"/>
    <w:rsid w:val="32F45CB1"/>
    <w:rsid w:val="35D2691D"/>
    <w:rsid w:val="37823062"/>
    <w:rsid w:val="382C4A0B"/>
    <w:rsid w:val="38436929"/>
    <w:rsid w:val="38892BF3"/>
    <w:rsid w:val="3DA70690"/>
    <w:rsid w:val="40F72D63"/>
    <w:rsid w:val="4EB12FBB"/>
    <w:rsid w:val="546F6672"/>
    <w:rsid w:val="56382375"/>
    <w:rsid w:val="57571DDB"/>
    <w:rsid w:val="59F52860"/>
    <w:rsid w:val="5AA77AC9"/>
    <w:rsid w:val="5AC14361"/>
    <w:rsid w:val="5C25339C"/>
    <w:rsid w:val="5C4047EF"/>
    <w:rsid w:val="5F8E09C5"/>
    <w:rsid w:val="60B6654D"/>
    <w:rsid w:val="633B5253"/>
    <w:rsid w:val="64C64FF0"/>
    <w:rsid w:val="65C60C5A"/>
    <w:rsid w:val="66F047B7"/>
    <w:rsid w:val="68E87C2B"/>
    <w:rsid w:val="6B212405"/>
    <w:rsid w:val="6B623CC4"/>
    <w:rsid w:val="6BC4672D"/>
    <w:rsid w:val="6BFF7765"/>
    <w:rsid w:val="6FFA7D7C"/>
    <w:rsid w:val="72873A09"/>
    <w:rsid w:val="771147F0"/>
    <w:rsid w:val="7DD3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chart" Target="charts/chart2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E:\Project\PythonProject1\&#26435;&#37325;&#25935;&#24863;&#24615;&#27979;&#35797;_&#28201;&#21644;&#22330;&#26223;&#29256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Project\PythonProject1\&#21508;&#30465;&#20859;&#32769;&#38656;&#27714;&#20248;&#20808;&#32423;&#25490;&#21517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各省</a:t>
            </a:r>
            <a:r>
              <a:rPr lang="en-US" altLang="zh-CN"/>
              <a:t>6</a:t>
            </a:r>
            <a:r>
              <a:rPr altLang="en-US"/>
              <a:t>组微调中</a:t>
            </a:r>
            <a:r>
              <a:t>最大排名波动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[权重敏感性测试_温和场景版.xlsx]Sheet1!$N$1</c:f>
              <c:strCache>
                <c:ptCount val="1"/>
                <c:pt idx="0">
                  <c:v>最大排名波动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[权重敏感性测试_温和场景版.xlsx]Sheet1!$A$2:$A$32</c:f>
              <c:strCache>
                <c:ptCount val="31"/>
                <c:pt idx="0">
                  <c:v>四川</c:v>
                </c:pt>
                <c:pt idx="1">
                  <c:v>山东</c:v>
                </c:pt>
                <c:pt idx="2">
                  <c:v>河北</c:v>
                </c:pt>
                <c:pt idx="3">
                  <c:v>安徽</c:v>
                </c:pt>
                <c:pt idx="4">
                  <c:v>江苏</c:v>
                </c:pt>
                <c:pt idx="5">
                  <c:v>湖南</c:v>
                </c:pt>
                <c:pt idx="6">
                  <c:v>云南</c:v>
                </c:pt>
                <c:pt idx="7">
                  <c:v>河南</c:v>
                </c:pt>
                <c:pt idx="8">
                  <c:v>甘肃</c:v>
                </c:pt>
                <c:pt idx="9">
                  <c:v>山西</c:v>
                </c:pt>
                <c:pt idx="10">
                  <c:v>贵州</c:v>
                </c:pt>
                <c:pt idx="11">
                  <c:v>湖北</c:v>
                </c:pt>
                <c:pt idx="12">
                  <c:v>内蒙古</c:v>
                </c:pt>
                <c:pt idx="13">
                  <c:v>陕西</c:v>
                </c:pt>
                <c:pt idx="14">
                  <c:v>浙江</c:v>
                </c:pt>
                <c:pt idx="15">
                  <c:v>西藏</c:v>
                </c:pt>
                <c:pt idx="16">
                  <c:v>广东</c:v>
                </c:pt>
                <c:pt idx="17">
                  <c:v>新疆</c:v>
                </c:pt>
                <c:pt idx="18">
                  <c:v>海南</c:v>
                </c:pt>
                <c:pt idx="19">
                  <c:v>宁夏</c:v>
                </c:pt>
                <c:pt idx="20">
                  <c:v>广西</c:v>
                </c:pt>
                <c:pt idx="21">
                  <c:v>北京</c:v>
                </c:pt>
                <c:pt idx="22">
                  <c:v>辽宁</c:v>
                </c:pt>
                <c:pt idx="23">
                  <c:v>上海</c:v>
                </c:pt>
                <c:pt idx="24">
                  <c:v>黑龙江</c:v>
                </c:pt>
                <c:pt idx="25">
                  <c:v>福建</c:v>
                </c:pt>
                <c:pt idx="26">
                  <c:v>江西</c:v>
                </c:pt>
                <c:pt idx="27">
                  <c:v>重庆</c:v>
                </c:pt>
                <c:pt idx="28">
                  <c:v>吉林</c:v>
                </c:pt>
                <c:pt idx="29">
                  <c:v>青海</c:v>
                </c:pt>
                <c:pt idx="30">
                  <c:v>天津</c:v>
                </c:pt>
              </c:strCache>
            </c:strRef>
          </c:cat>
          <c:val>
            <c:numRef>
              <c:f>[权重敏感性测试_温和场景版.xlsx]Sheet1!$N$2:$N$32</c:f>
              <c:numCache>
                <c:formatCode>General</c:formatCode>
                <c:ptCount val="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</c:v>
                </c:pt>
                <c:pt idx="4">
                  <c:v>3</c:v>
                </c:pt>
                <c:pt idx="5">
                  <c:v>1</c:v>
                </c:pt>
                <c:pt idx="6">
                  <c:v>4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2</c:v>
                </c:pt>
                <c:pt idx="14">
                  <c:v>1</c:v>
                </c:pt>
                <c:pt idx="15">
                  <c:v>3</c:v>
                </c:pt>
                <c:pt idx="16">
                  <c:v>3</c:v>
                </c:pt>
                <c:pt idx="17">
                  <c:v>1</c:v>
                </c:pt>
                <c:pt idx="18">
                  <c:v>2</c:v>
                </c:pt>
                <c:pt idx="19">
                  <c:v>1</c:v>
                </c:pt>
                <c:pt idx="20">
                  <c:v>2</c:v>
                </c:pt>
                <c:pt idx="21">
                  <c:v>2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340514517"/>
        <c:axId val="127701562"/>
      </c:barChart>
      <c:catAx>
        <c:axId val="34051451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27701562"/>
        <c:crosses val="autoZero"/>
        <c:auto val="1"/>
        <c:lblAlgn val="ctr"/>
        <c:lblOffset val="100"/>
        <c:noMultiLvlLbl val="0"/>
      </c:catAx>
      <c:valAx>
        <c:axId val="12770156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4051451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59b63b3-8e71-4412-8601-e1b6eae1f9d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[各省养老需求优先级排名.xlsx]Sheet1!$H$1</c:f>
              <c:strCache>
                <c:ptCount val="1"/>
                <c:pt idx="0">
                  <c:v>养老需求综合得分</c:v>
                </c:pt>
              </c:strCache>
            </c:strRef>
          </c:tx>
          <c:spPr>
            <a:gradFill>
              <a:gsLst>
                <a:gs pos="0">
                  <a:schemeClr val="accent1">
                    <a:lumMod val="40000"/>
                    <a:lumOff val="60000"/>
                  </a:schemeClr>
                </a:gs>
                <a:gs pos="90000">
                  <a:schemeClr val="accent1"/>
                </a:gs>
              </a:gsLst>
              <a:lin ang="5400000" scaled="0"/>
            </a:gradFill>
            <a:ln>
              <a:gradFill>
                <a:gsLst>
                  <a:gs pos="0">
                    <a:schemeClr val="accent1"/>
                  </a:gs>
                  <a:gs pos="100000">
                    <a:schemeClr val="accent1">
                      <a:lumMod val="75000"/>
                    </a:schemeClr>
                  </a:gs>
                </a:gsLst>
                <a:lin ang="5400000" scaled="1"/>
              </a:gradFill>
            </a:ln>
            <a:effectLst>
              <a:outerShdw blurRad="76200" dist="25400" dir="2700000" algn="tl" rotWithShape="0">
                <a:schemeClr val="accent1">
                  <a:lumMod val="50000"/>
                  <a:alpha val="30000"/>
                </a:schemeClr>
              </a:outerShdw>
            </a:effectLst>
          </c:spPr>
          <c:invertIfNegative val="0"/>
          <c:dLbls>
            <c:delete val="1"/>
          </c:dLbls>
          <c:cat>
            <c:strRef>
              <c:f>[各省养老需求优先级排名.xlsx]Sheet1!$B$2:$B$32</c:f>
              <c:strCache>
                <c:ptCount val="31"/>
                <c:pt idx="0">
                  <c:v>四川</c:v>
                </c:pt>
                <c:pt idx="1">
                  <c:v>山东</c:v>
                </c:pt>
                <c:pt idx="2">
                  <c:v>河北</c:v>
                </c:pt>
                <c:pt idx="3">
                  <c:v>安徽</c:v>
                </c:pt>
                <c:pt idx="4">
                  <c:v>江苏</c:v>
                </c:pt>
                <c:pt idx="5">
                  <c:v>湖南</c:v>
                </c:pt>
                <c:pt idx="6">
                  <c:v>云南</c:v>
                </c:pt>
                <c:pt idx="7">
                  <c:v>河南</c:v>
                </c:pt>
                <c:pt idx="8">
                  <c:v>甘肃</c:v>
                </c:pt>
                <c:pt idx="9">
                  <c:v>山西</c:v>
                </c:pt>
                <c:pt idx="10">
                  <c:v>贵州</c:v>
                </c:pt>
                <c:pt idx="11">
                  <c:v>湖北</c:v>
                </c:pt>
                <c:pt idx="12">
                  <c:v>内蒙古</c:v>
                </c:pt>
                <c:pt idx="13">
                  <c:v>陕西</c:v>
                </c:pt>
                <c:pt idx="14">
                  <c:v>浙江</c:v>
                </c:pt>
                <c:pt idx="15">
                  <c:v>西藏</c:v>
                </c:pt>
                <c:pt idx="16">
                  <c:v>广东</c:v>
                </c:pt>
                <c:pt idx="17">
                  <c:v>新疆</c:v>
                </c:pt>
                <c:pt idx="18">
                  <c:v>海南</c:v>
                </c:pt>
                <c:pt idx="19">
                  <c:v>宁夏</c:v>
                </c:pt>
                <c:pt idx="20">
                  <c:v>广西</c:v>
                </c:pt>
                <c:pt idx="21">
                  <c:v>北京</c:v>
                </c:pt>
                <c:pt idx="22">
                  <c:v>辽宁</c:v>
                </c:pt>
                <c:pt idx="23">
                  <c:v>上海</c:v>
                </c:pt>
                <c:pt idx="24">
                  <c:v>黑龙江</c:v>
                </c:pt>
                <c:pt idx="25">
                  <c:v>福建</c:v>
                </c:pt>
                <c:pt idx="26">
                  <c:v>江西</c:v>
                </c:pt>
                <c:pt idx="27">
                  <c:v>重庆</c:v>
                </c:pt>
                <c:pt idx="28">
                  <c:v>吉林</c:v>
                </c:pt>
                <c:pt idx="29">
                  <c:v>青海</c:v>
                </c:pt>
                <c:pt idx="30">
                  <c:v>天津</c:v>
                </c:pt>
              </c:strCache>
            </c:strRef>
          </c:cat>
          <c:val>
            <c:numRef>
              <c:f>[各省养老需求优先级排名.xlsx]Sheet1!$H$2:$H$32</c:f>
              <c:numCache>
                <c:formatCode>General</c:formatCode>
                <c:ptCount val="31"/>
                <c:pt idx="0">
                  <c:v>69.15</c:v>
                </c:pt>
                <c:pt idx="1">
                  <c:v>63.17</c:v>
                </c:pt>
                <c:pt idx="2">
                  <c:v>59.18</c:v>
                </c:pt>
                <c:pt idx="3">
                  <c:v>56.71</c:v>
                </c:pt>
                <c:pt idx="4">
                  <c:v>56.67</c:v>
                </c:pt>
                <c:pt idx="5">
                  <c:v>56.44</c:v>
                </c:pt>
                <c:pt idx="6">
                  <c:v>56</c:v>
                </c:pt>
                <c:pt idx="7">
                  <c:v>55.38</c:v>
                </c:pt>
                <c:pt idx="8">
                  <c:v>53.04</c:v>
                </c:pt>
                <c:pt idx="9">
                  <c:v>52.84</c:v>
                </c:pt>
                <c:pt idx="10">
                  <c:v>51.69</c:v>
                </c:pt>
                <c:pt idx="11">
                  <c:v>51.54</c:v>
                </c:pt>
                <c:pt idx="12">
                  <c:v>50.37</c:v>
                </c:pt>
                <c:pt idx="13">
                  <c:v>50.1</c:v>
                </c:pt>
                <c:pt idx="14">
                  <c:v>48.76</c:v>
                </c:pt>
                <c:pt idx="15">
                  <c:v>48.37</c:v>
                </c:pt>
                <c:pt idx="16">
                  <c:v>46.74</c:v>
                </c:pt>
                <c:pt idx="17">
                  <c:v>46.36</c:v>
                </c:pt>
                <c:pt idx="18">
                  <c:v>46.25</c:v>
                </c:pt>
                <c:pt idx="19">
                  <c:v>45.03</c:v>
                </c:pt>
                <c:pt idx="20">
                  <c:v>43.98</c:v>
                </c:pt>
                <c:pt idx="21">
                  <c:v>42.81</c:v>
                </c:pt>
                <c:pt idx="22">
                  <c:v>41.38</c:v>
                </c:pt>
                <c:pt idx="23">
                  <c:v>38.49</c:v>
                </c:pt>
                <c:pt idx="24">
                  <c:v>37.9</c:v>
                </c:pt>
                <c:pt idx="25">
                  <c:v>36.92</c:v>
                </c:pt>
                <c:pt idx="26">
                  <c:v>31.89</c:v>
                </c:pt>
                <c:pt idx="27">
                  <c:v>31.05</c:v>
                </c:pt>
                <c:pt idx="28">
                  <c:v>29.21</c:v>
                </c:pt>
                <c:pt idx="29">
                  <c:v>27.47</c:v>
                </c:pt>
                <c:pt idx="30">
                  <c:v>27.09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0"/>
        <c:axId val="616786810"/>
        <c:axId val="946748394"/>
      </c:barChart>
      <c:catAx>
        <c:axId val="6167868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46748394"/>
        <c:crosses val="autoZero"/>
        <c:auto val="1"/>
        <c:lblAlgn val="ctr"/>
        <c:lblOffset val="100"/>
        <c:noMultiLvlLbl val="0"/>
      </c:catAx>
      <c:valAx>
        <c:axId val="94674839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167868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80f61c3-293b-4d55-b99b-6efb2c46338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gradFill>
        <a:gsLst>
          <a:gs pos="0">
            <a:schemeClr val="phClr">
              <a:lumMod val="40000"/>
              <a:lumOff val="60000"/>
            </a:schemeClr>
          </a:gs>
          <a:gs pos="90000">
            <a:schemeClr val="phClr"/>
          </a:gs>
        </a:gsLst>
        <a:lin ang="5400000" scaled="0"/>
      </a:gradFill>
      <a:ln>
        <a:gradFill>
          <a:gsLst>
            <a:gs pos="0">
              <a:schemeClr val="phClr"/>
            </a:gs>
            <a:gs pos="100000">
              <a:schemeClr val="phClr">
                <a:lumMod val="75000"/>
              </a:schemeClr>
            </a:gs>
          </a:gsLst>
          <a:lin ang="5400000" scaled="1"/>
        </a:gradFill>
      </a:ln>
      <a:effectLst>
        <a:outerShdw blurRad="76200" dist="25400" dir="2700000" algn="tl" rotWithShape="0">
          <a:schemeClr val="phClr">
            <a:lumMod val="50000"/>
            <a:alpha val="30000"/>
          </a:schemeClr>
        </a:outerShdw>
      </a:effectLst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1536</Words>
  <Characters>1604</Characters>
  <Lines>0</Lines>
  <Paragraphs>0</Paragraphs>
  <TotalTime>118</TotalTime>
  <ScaleCrop>false</ScaleCrop>
  <LinksUpToDate>false</LinksUpToDate>
  <CharactersWithSpaces>1677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2026-01-21T11:00:00Z</dcterms:created>
  <dc:creator>WPS_1669462963</dc:creator>
  <cp:lastModifiedBy>WPS_1669462963</cp:lastModifiedBy>
  <dcterms:modified xsi:type="dcterms:W3CDTF">2026-04-23T12:29:14Z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702596C6A2094EC68AD680AC9B8C6061_11</vt:lpwstr>
  </property>
  <property fmtid="{D5CDD505-2E9C-101B-9397-08002B2CF9AE}" pid="4" name="KSOTemplateDocerSaveRecord">
    <vt:lpwstr>eyJoZGlkIjoiZDM4OGQzYWJhZjIwNzliNWNjMDA5NWJmYTg3ZjRkMjIiLCJ1c2VySWQiOiIxNDQ5Mjc0MTAxIn0=</vt:lpwstr>
  </property>
</Properties>
</file>