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9A7E4">
      <w:pPr>
        <w:pStyle w:val="2"/>
        <w:pageBreakBefore w:val="0"/>
        <w:kinsoku/>
        <w:wordWrap/>
        <w:overflowPunct/>
        <w:topLinePunct w:val="0"/>
        <w:autoSpaceDE/>
        <w:autoSpaceDN/>
        <w:bidi w:val="0"/>
        <w:adjustRightInd/>
        <w:snapToGrid/>
        <w:spacing w:before="0" w:beforeLines="0" w:after="0" w:afterLines="0" w:line="288" w:lineRule="auto"/>
        <w:jc w:val="center"/>
        <w:textAlignment w:val="auto"/>
        <w:rPr>
          <w:rFonts w:hint="eastAsia" w:asciiTheme="minorEastAsia" w:hAnsiTheme="minorEastAsia" w:eastAsiaTheme="minorEastAsia" w:cstheme="minorEastAsia"/>
          <w:lang w:val="en-US" w:eastAsia="zh-CN"/>
        </w:rPr>
      </w:pPr>
    </w:p>
    <w:p w14:paraId="4D321ED1">
      <w:pPr>
        <w:pStyle w:val="2"/>
        <w:pageBreakBefore w:val="0"/>
        <w:kinsoku/>
        <w:wordWrap/>
        <w:overflowPunct/>
        <w:topLinePunct w:val="0"/>
        <w:autoSpaceDE/>
        <w:autoSpaceDN/>
        <w:bidi w:val="0"/>
        <w:adjustRightInd/>
        <w:snapToGrid/>
        <w:spacing w:before="0" w:beforeLines="0" w:after="0" w:afterLines="0" w:line="288" w:lineRule="auto"/>
        <w:jc w:val="center"/>
        <w:textAlignment w:val="auto"/>
        <w:rPr>
          <w:rFonts w:hint="eastAsia" w:asciiTheme="minorEastAsia" w:hAnsiTheme="minorEastAsia" w:eastAsiaTheme="minorEastAsia" w:cstheme="minorEastAsia"/>
          <w:lang w:val="en-US" w:eastAsia="zh-CN"/>
        </w:rPr>
      </w:pPr>
    </w:p>
    <w:p w14:paraId="657F3A98">
      <w:pPr>
        <w:pStyle w:val="2"/>
        <w:pageBreakBefore w:val="0"/>
        <w:kinsoku/>
        <w:wordWrap/>
        <w:overflowPunct/>
        <w:topLinePunct w:val="0"/>
        <w:autoSpaceDE/>
        <w:autoSpaceDN/>
        <w:bidi w:val="0"/>
        <w:adjustRightInd/>
        <w:snapToGrid/>
        <w:spacing w:before="0" w:beforeLines="0" w:after="0" w:afterLines="0" w:line="288" w:lineRule="auto"/>
        <w:jc w:val="center"/>
        <w:textAlignment w:val="auto"/>
        <w:rPr>
          <w:rFonts w:hint="eastAsia" w:asciiTheme="minorEastAsia" w:hAnsiTheme="minorEastAsia" w:eastAsiaTheme="minorEastAsia" w:cstheme="minorEastAsia"/>
          <w:lang w:val="en-US" w:eastAsia="zh-CN"/>
        </w:rPr>
      </w:pPr>
    </w:p>
    <w:p w14:paraId="3CC04B76">
      <w:pPr>
        <w:pStyle w:val="2"/>
        <w:pageBreakBefore w:val="0"/>
        <w:kinsoku/>
        <w:wordWrap/>
        <w:overflowPunct/>
        <w:topLinePunct w:val="0"/>
        <w:autoSpaceDE/>
        <w:autoSpaceDN/>
        <w:bidi w:val="0"/>
        <w:adjustRightInd/>
        <w:snapToGrid/>
        <w:spacing w:before="0" w:beforeLines="0" w:after="0" w:afterLines="0" w:line="288" w:lineRule="auto"/>
        <w:jc w:val="center"/>
        <w:textAlignment w:val="auto"/>
        <w:rPr>
          <w:rFonts w:hint="eastAsia" w:asciiTheme="minorEastAsia" w:hAnsiTheme="minorEastAsia" w:eastAsiaTheme="minorEastAsia" w:cstheme="minorEastAsia"/>
          <w:lang w:val="en-US" w:eastAsia="zh-CN"/>
        </w:rPr>
      </w:pPr>
    </w:p>
    <w:p w14:paraId="4F480175">
      <w:pPr>
        <w:pStyle w:val="2"/>
        <w:pageBreakBefore w:val="0"/>
        <w:kinsoku/>
        <w:wordWrap/>
        <w:overflowPunct/>
        <w:topLinePunct w:val="0"/>
        <w:autoSpaceDE/>
        <w:autoSpaceDN/>
        <w:bidi w:val="0"/>
        <w:adjustRightInd/>
        <w:snapToGrid/>
        <w:spacing w:before="0" w:beforeLines="0" w:after="0" w:afterLines="0" w:line="288"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2026年国家公务员录用考试《行测》题</w:t>
      </w:r>
    </w:p>
    <w:p w14:paraId="3CCB8666">
      <w:pPr>
        <w:pStyle w:val="2"/>
        <w:pageBreakBefore w:val="0"/>
        <w:kinsoku/>
        <w:wordWrap/>
        <w:overflowPunct/>
        <w:topLinePunct w:val="0"/>
        <w:autoSpaceDE/>
        <w:autoSpaceDN/>
        <w:bidi w:val="0"/>
        <w:adjustRightInd/>
        <w:snapToGrid/>
        <w:spacing w:before="0" w:beforeLines="0" w:after="0" w:afterLines="0" w:line="288" w:lineRule="auto"/>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（行政执法卷解析）</w:t>
      </w:r>
    </w:p>
    <w:p w14:paraId="1F3CAF0F">
      <w:pPr>
        <w:pageBreakBefore w:val="0"/>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i w:val="0"/>
          <w:iCs w:val="0"/>
          <w:caps w:val="0"/>
          <w:color w:val="000000"/>
          <w:spacing w:val="0"/>
          <w:kern w:val="0"/>
          <w:sz w:val="28"/>
          <w:szCs w:val="28"/>
          <w:shd w:val="clear" w:fill="FFFFFF"/>
          <w:lang w:val="en-US" w:eastAsia="zh-CN" w:bidi="ar"/>
        </w:rPr>
      </w:pPr>
      <w:r>
        <w:rPr>
          <w:rFonts w:hint="eastAsia" w:asciiTheme="minorEastAsia" w:hAnsiTheme="minorEastAsia" w:eastAsiaTheme="minorEastAsia" w:cstheme="minorEastAsia"/>
          <w:i w:val="0"/>
          <w:iCs w:val="0"/>
          <w:caps w:val="0"/>
          <w:color w:val="000000"/>
          <w:spacing w:val="0"/>
          <w:kern w:val="0"/>
          <w:sz w:val="28"/>
          <w:szCs w:val="28"/>
          <w:shd w:val="clear" w:fill="FFFFFF"/>
          <w:lang w:val="en-US" w:eastAsia="zh-CN" w:bidi="ar"/>
        </w:rPr>
        <w:br w:type="page"/>
      </w:r>
      <w:bookmarkStart w:id="0" w:name="_GoBack"/>
      <w:bookmarkEnd w:id="0"/>
    </w:p>
    <w:p w14:paraId="00CE5EE7">
      <w:pPr>
        <w:pageBreakBefore w:val="0"/>
        <w:kinsoku/>
        <w:wordWrap/>
        <w:overflowPunct/>
        <w:topLinePunct w:val="0"/>
        <w:autoSpaceDE/>
        <w:autoSpaceDN/>
        <w:bidi w:val="0"/>
        <w:adjustRightInd/>
        <w:snapToGrid/>
        <w:spacing w:line="288" w:lineRule="auto"/>
        <w:jc w:val="center"/>
        <w:textAlignment w:val="auto"/>
        <w:rPr>
          <w:rFonts w:hint="default" w:asciiTheme="minorEastAsia" w:hAnsiTheme="minorEastAsia" w:eastAsiaTheme="minorEastAsia" w:cstheme="minorEastAsia"/>
          <w:i w:val="0"/>
          <w:iCs w:val="0"/>
          <w:caps w:val="0"/>
          <w:color w:val="000000"/>
          <w:spacing w:val="0"/>
          <w:kern w:val="0"/>
          <w:sz w:val="22"/>
          <w:szCs w:val="22"/>
          <w:shd w:val="clear" w:fill="FFFFFF"/>
          <w:lang w:val="en-US" w:eastAsia="zh-CN" w:bidi="ar"/>
        </w:rPr>
      </w:pPr>
      <w:r>
        <w:rPr>
          <w:rFonts w:hint="eastAsia" w:asciiTheme="minorEastAsia" w:hAnsiTheme="minorEastAsia" w:cstheme="minorEastAsia"/>
          <w:i w:val="0"/>
          <w:iCs w:val="0"/>
          <w:caps w:val="0"/>
          <w:color w:val="000000"/>
          <w:spacing w:val="0"/>
          <w:kern w:val="0"/>
          <w:sz w:val="22"/>
          <w:szCs w:val="22"/>
          <w:shd w:val="clear" w:fill="FFFFFF"/>
          <w:lang w:val="en-US" w:eastAsia="zh-CN" w:bidi="ar"/>
        </w:rPr>
        <w:t>参考答案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320"/>
        <w:gridCol w:w="3321"/>
        <w:gridCol w:w="3321"/>
      </w:tblGrid>
      <w:tr w14:paraId="186F0BD7">
        <w:trPr>
          <w:trHeight w:val="476" w:hRule="exact"/>
        </w:trPr>
        <w:tc>
          <w:tcPr>
            <w:tcW w:w="3320" w:type="dxa"/>
            <w:vAlign w:val="center"/>
          </w:tcPr>
          <w:p w14:paraId="498C3E9A">
            <w:pPr>
              <w:jc w:val="center"/>
              <w:rPr>
                <w:rFonts w:hint="default" w:asciiTheme="minorEastAsia" w:hAnsiTheme="minorEastAsia" w:eastAsia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模块</w:t>
            </w:r>
          </w:p>
        </w:tc>
        <w:tc>
          <w:tcPr>
            <w:tcW w:w="3321" w:type="dxa"/>
            <w:vAlign w:val="center"/>
          </w:tcPr>
          <w:p w14:paraId="04B3D33C">
            <w:pPr>
              <w:jc w:val="center"/>
              <w:rPr>
                <w:rFonts w:hint="default" w:asciiTheme="minorEastAsia" w:hAnsiTheme="minorEastAsia" w:eastAsia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题号</w:t>
            </w:r>
          </w:p>
        </w:tc>
        <w:tc>
          <w:tcPr>
            <w:tcW w:w="3321" w:type="dxa"/>
            <w:vAlign w:val="center"/>
          </w:tcPr>
          <w:p w14:paraId="0A34B6B0">
            <w:pPr>
              <w:jc w:val="center"/>
              <w:rPr>
                <w:rFonts w:hint="default" w:asciiTheme="minorEastAsia" w:hAnsiTheme="minorEastAsia" w:eastAsia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答案</w:t>
            </w:r>
          </w:p>
        </w:tc>
      </w:tr>
      <w:tr w14:paraId="42FAF8B1">
        <w:trPr>
          <w:trHeight w:val="476" w:hRule="exact"/>
        </w:trPr>
        <w:tc>
          <w:tcPr>
            <w:tcW w:w="3320" w:type="dxa"/>
            <w:vMerge w:val="restart"/>
            <w:vAlign w:val="center"/>
          </w:tcPr>
          <w:p w14:paraId="293F0CA8">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政治理论</w:t>
            </w:r>
          </w:p>
        </w:tc>
        <w:tc>
          <w:tcPr>
            <w:tcW w:w="3321" w:type="dxa"/>
            <w:vAlign w:val="center"/>
          </w:tcPr>
          <w:p w14:paraId="546AF641">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1-5</w:t>
            </w:r>
          </w:p>
        </w:tc>
        <w:tc>
          <w:tcPr>
            <w:tcW w:w="3321" w:type="dxa"/>
            <w:vAlign w:val="center"/>
          </w:tcPr>
          <w:p w14:paraId="1B0B92AB">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DCBAD</w:t>
            </w:r>
          </w:p>
        </w:tc>
      </w:tr>
      <w:tr w14:paraId="28DE307A">
        <w:trPr>
          <w:trHeight w:val="476" w:hRule="exact"/>
        </w:trPr>
        <w:tc>
          <w:tcPr>
            <w:tcW w:w="3320" w:type="dxa"/>
            <w:vMerge w:val="continue"/>
            <w:tcBorders/>
            <w:vAlign w:val="center"/>
          </w:tcPr>
          <w:p w14:paraId="24AF338E">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3FBEFD60">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6-10</w:t>
            </w:r>
          </w:p>
        </w:tc>
        <w:tc>
          <w:tcPr>
            <w:tcW w:w="3321" w:type="dxa"/>
            <w:vAlign w:val="center"/>
          </w:tcPr>
          <w:p w14:paraId="4F104624">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ACDAB</w:t>
            </w:r>
          </w:p>
        </w:tc>
      </w:tr>
      <w:tr w14:paraId="424C464A">
        <w:trPr>
          <w:trHeight w:val="476" w:hRule="exact"/>
        </w:trPr>
        <w:tc>
          <w:tcPr>
            <w:tcW w:w="3320" w:type="dxa"/>
            <w:vMerge w:val="continue"/>
            <w:tcBorders/>
            <w:vAlign w:val="center"/>
          </w:tcPr>
          <w:p w14:paraId="3B893244">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3F888083">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11-15</w:t>
            </w:r>
          </w:p>
        </w:tc>
        <w:tc>
          <w:tcPr>
            <w:tcW w:w="3321" w:type="dxa"/>
            <w:vAlign w:val="center"/>
          </w:tcPr>
          <w:p w14:paraId="7EBB8501">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CDBCA</w:t>
            </w:r>
          </w:p>
        </w:tc>
      </w:tr>
      <w:tr w14:paraId="2F6E3FB3">
        <w:trPr>
          <w:trHeight w:val="476" w:hRule="exact"/>
        </w:trPr>
        <w:tc>
          <w:tcPr>
            <w:tcW w:w="3320" w:type="dxa"/>
            <w:vMerge w:val="continue"/>
            <w:tcBorders/>
            <w:vAlign w:val="center"/>
          </w:tcPr>
          <w:p w14:paraId="65814AC8">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47E1D95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16-20</w:t>
            </w:r>
          </w:p>
        </w:tc>
        <w:tc>
          <w:tcPr>
            <w:tcW w:w="3321" w:type="dxa"/>
            <w:vAlign w:val="center"/>
          </w:tcPr>
          <w:p w14:paraId="12A38D58">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DACBB</w:t>
            </w:r>
          </w:p>
        </w:tc>
      </w:tr>
      <w:tr w14:paraId="51BDE862">
        <w:trPr>
          <w:trHeight w:val="476" w:hRule="exact"/>
        </w:trPr>
        <w:tc>
          <w:tcPr>
            <w:tcW w:w="3320" w:type="dxa"/>
            <w:vMerge w:val="restart"/>
            <w:vAlign w:val="center"/>
          </w:tcPr>
          <w:p w14:paraId="091F9719">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常识判断</w:t>
            </w:r>
          </w:p>
        </w:tc>
        <w:tc>
          <w:tcPr>
            <w:tcW w:w="3321" w:type="dxa"/>
            <w:vAlign w:val="center"/>
          </w:tcPr>
          <w:p w14:paraId="29B85C93">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21-25</w:t>
            </w:r>
          </w:p>
        </w:tc>
        <w:tc>
          <w:tcPr>
            <w:tcW w:w="3321" w:type="dxa"/>
            <w:vAlign w:val="center"/>
          </w:tcPr>
          <w:p w14:paraId="0D2FB796">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DCBAB</w:t>
            </w:r>
          </w:p>
        </w:tc>
      </w:tr>
      <w:tr w14:paraId="25D5545D">
        <w:trPr>
          <w:trHeight w:val="476" w:hRule="exact"/>
        </w:trPr>
        <w:tc>
          <w:tcPr>
            <w:tcW w:w="3320" w:type="dxa"/>
            <w:vMerge w:val="continue"/>
            <w:tcBorders/>
            <w:vAlign w:val="center"/>
          </w:tcPr>
          <w:p w14:paraId="33147030">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1EE7A69E">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26-30</w:t>
            </w:r>
          </w:p>
        </w:tc>
        <w:tc>
          <w:tcPr>
            <w:tcW w:w="3321" w:type="dxa"/>
            <w:vAlign w:val="center"/>
          </w:tcPr>
          <w:p w14:paraId="48E71D8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ACCDA</w:t>
            </w:r>
          </w:p>
        </w:tc>
      </w:tr>
      <w:tr w14:paraId="3C514B31">
        <w:trPr>
          <w:trHeight w:val="476" w:hRule="exact"/>
        </w:trPr>
        <w:tc>
          <w:tcPr>
            <w:tcW w:w="3320" w:type="dxa"/>
            <w:vMerge w:val="continue"/>
            <w:tcBorders/>
            <w:vAlign w:val="center"/>
          </w:tcPr>
          <w:p w14:paraId="4BBDA548">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3EA990C7">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31-35</w:t>
            </w:r>
          </w:p>
        </w:tc>
        <w:tc>
          <w:tcPr>
            <w:tcW w:w="3321" w:type="dxa"/>
            <w:vAlign w:val="center"/>
          </w:tcPr>
          <w:p w14:paraId="643379B8">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BDCAA</w:t>
            </w:r>
          </w:p>
        </w:tc>
      </w:tr>
      <w:tr w14:paraId="555DBED9">
        <w:trPr>
          <w:trHeight w:val="476" w:hRule="exact"/>
        </w:trPr>
        <w:tc>
          <w:tcPr>
            <w:tcW w:w="3320" w:type="dxa"/>
            <w:vMerge w:val="restart"/>
            <w:vAlign w:val="center"/>
          </w:tcPr>
          <w:p w14:paraId="3A57DB51">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言语理解</w:t>
            </w:r>
          </w:p>
        </w:tc>
        <w:tc>
          <w:tcPr>
            <w:tcW w:w="3321" w:type="dxa"/>
            <w:vAlign w:val="center"/>
          </w:tcPr>
          <w:p w14:paraId="3CE82240">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36-40</w:t>
            </w:r>
          </w:p>
        </w:tc>
        <w:tc>
          <w:tcPr>
            <w:tcW w:w="3321" w:type="dxa"/>
            <w:vAlign w:val="center"/>
          </w:tcPr>
          <w:p w14:paraId="6BEE3C6D">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DBCDA</w:t>
            </w:r>
          </w:p>
        </w:tc>
      </w:tr>
      <w:tr w14:paraId="64F938F6">
        <w:trPr>
          <w:trHeight w:val="476" w:hRule="exact"/>
        </w:trPr>
        <w:tc>
          <w:tcPr>
            <w:tcW w:w="3320" w:type="dxa"/>
            <w:vMerge w:val="continue"/>
            <w:tcBorders/>
            <w:vAlign w:val="center"/>
          </w:tcPr>
          <w:p w14:paraId="41EF7043">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796015A9">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41-45</w:t>
            </w:r>
          </w:p>
        </w:tc>
        <w:tc>
          <w:tcPr>
            <w:tcW w:w="3321" w:type="dxa"/>
            <w:vAlign w:val="center"/>
          </w:tcPr>
          <w:p w14:paraId="02A3F405">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BCDBA</w:t>
            </w:r>
          </w:p>
        </w:tc>
      </w:tr>
      <w:tr w14:paraId="4CF72099">
        <w:trPr>
          <w:trHeight w:val="476" w:hRule="exact"/>
        </w:trPr>
        <w:tc>
          <w:tcPr>
            <w:tcW w:w="3320" w:type="dxa"/>
            <w:vMerge w:val="continue"/>
            <w:tcBorders/>
            <w:vAlign w:val="center"/>
          </w:tcPr>
          <w:p w14:paraId="0F9F97E6">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34DE77D2">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46-50</w:t>
            </w:r>
          </w:p>
        </w:tc>
        <w:tc>
          <w:tcPr>
            <w:tcW w:w="3321" w:type="dxa"/>
            <w:vAlign w:val="center"/>
          </w:tcPr>
          <w:p w14:paraId="2AB8F3D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DCABD</w:t>
            </w:r>
          </w:p>
        </w:tc>
      </w:tr>
      <w:tr w14:paraId="42CB8E9D">
        <w:trPr>
          <w:trHeight w:val="476" w:hRule="exact"/>
        </w:trPr>
        <w:tc>
          <w:tcPr>
            <w:tcW w:w="3320" w:type="dxa"/>
            <w:vMerge w:val="continue"/>
            <w:tcBorders/>
            <w:vAlign w:val="center"/>
          </w:tcPr>
          <w:p w14:paraId="4967EE8B">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5ACDAFC4">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51-55</w:t>
            </w:r>
          </w:p>
        </w:tc>
        <w:tc>
          <w:tcPr>
            <w:tcW w:w="3321" w:type="dxa"/>
            <w:vAlign w:val="center"/>
          </w:tcPr>
          <w:p w14:paraId="339B73A7">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CACDA</w:t>
            </w:r>
          </w:p>
        </w:tc>
      </w:tr>
      <w:tr w14:paraId="2CEDC5C2">
        <w:trPr>
          <w:trHeight w:val="476" w:hRule="exact"/>
        </w:trPr>
        <w:tc>
          <w:tcPr>
            <w:tcW w:w="3320" w:type="dxa"/>
            <w:vMerge w:val="continue"/>
            <w:tcBorders/>
            <w:vAlign w:val="center"/>
          </w:tcPr>
          <w:p w14:paraId="1414BC9C">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78BD8444">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56-60</w:t>
            </w:r>
          </w:p>
        </w:tc>
        <w:tc>
          <w:tcPr>
            <w:tcW w:w="3321" w:type="dxa"/>
            <w:vAlign w:val="center"/>
          </w:tcPr>
          <w:p w14:paraId="671AFCF6">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CDBBD</w:t>
            </w:r>
          </w:p>
        </w:tc>
      </w:tr>
      <w:tr w14:paraId="390E7126">
        <w:trPr>
          <w:trHeight w:val="476" w:hRule="exact"/>
        </w:trPr>
        <w:tc>
          <w:tcPr>
            <w:tcW w:w="3320" w:type="dxa"/>
            <w:vMerge w:val="continue"/>
            <w:tcBorders/>
            <w:vAlign w:val="center"/>
          </w:tcPr>
          <w:p w14:paraId="49C79BB8">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7BB6A11F">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61-65</w:t>
            </w:r>
          </w:p>
        </w:tc>
        <w:tc>
          <w:tcPr>
            <w:tcW w:w="3321" w:type="dxa"/>
            <w:vAlign w:val="center"/>
          </w:tcPr>
          <w:p w14:paraId="602AD8E4">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CADBA</w:t>
            </w:r>
          </w:p>
        </w:tc>
      </w:tr>
      <w:tr w14:paraId="387B558A">
        <w:trPr>
          <w:trHeight w:val="476" w:hRule="exact"/>
        </w:trPr>
        <w:tc>
          <w:tcPr>
            <w:tcW w:w="3320" w:type="dxa"/>
            <w:vMerge w:val="restart"/>
            <w:vAlign w:val="center"/>
          </w:tcPr>
          <w:p w14:paraId="6EDE1397">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数量关系</w:t>
            </w:r>
          </w:p>
        </w:tc>
        <w:tc>
          <w:tcPr>
            <w:tcW w:w="3321" w:type="dxa"/>
            <w:vAlign w:val="center"/>
          </w:tcPr>
          <w:p w14:paraId="6EB7FCA8">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66-70</w:t>
            </w:r>
          </w:p>
        </w:tc>
        <w:tc>
          <w:tcPr>
            <w:tcW w:w="3321" w:type="dxa"/>
            <w:vAlign w:val="center"/>
          </w:tcPr>
          <w:p w14:paraId="09EB86BB">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ACBCB</w:t>
            </w:r>
          </w:p>
        </w:tc>
      </w:tr>
      <w:tr w14:paraId="4C480C8F">
        <w:trPr>
          <w:trHeight w:val="476" w:hRule="exact"/>
        </w:trPr>
        <w:tc>
          <w:tcPr>
            <w:tcW w:w="3320" w:type="dxa"/>
            <w:vMerge w:val="continue"/>
            <w:tcBorders/>
            <w:vAlign w:val="center"/>
          </w:tcPr>
          <w:p w14:paraId="196D8564">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061922D7">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71-75</w:t>
            </w:r>
          </w:p>
        </w:tc>
        <w:tc>
          <w:tcPr>
            <w:tcW w:w="3321" w:type="dxa"/>
            <w:vAlign w:val="center"/>
          </w:tcPr>
          <w:p w14:paraId="51DFC913">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DDABC</w:t>
            </w:r>
          </w:p>
        </w:tc>
      </w:tr>
      <w:tr w14:paraId="61569FEF">
        <w:trPr>
          <w:trHeight w:val="476" w:hRule="exact"/>
        </w:trPr>
        <w:tc>
          <w:tcPr>
            <w:tcW w:w="3320" w:type="dxa"/>
            <w:vMerge w:val="restart"/>
            <w:vAlign w:val="center"/>
          </w:tcPr>
          <w:p w14:paraId="35974582">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判断推理</w:t>
            </w:r>
          </w:p>
        </w:tc>
        <w:tc>
          <w:tcPr>
            <w:tcW w:w="3321" w:type="dxa"/>
            <w:vAlign w:val="center"/>
          </w:tcPr>
          <w:p w14:paraId="06BD4607">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76-80</w:t>
            </w:r>
          </w:p>
        </w:tc>
        <w:tc>
          <w:tcPr>
            <w:tcW w:w="3321" w:type="dxa"/>
            <w:vAlign w:val="center"/>
          </w:tcPr>
          <w:p w14:paraId="4F3C9EC0">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DABCB</w:t>
            </w:r>
          </w:p>
        </w:tc>
      </w:tr>
      <w:tr w14:paraId="7F49AE7F">
        <w:trPr>
          <w:trHeight w:val="476" w:hRule="exact"/>
        </w:trPr>
        <w:tc>
          <w:tcPr>
            <w:tcW w:w="3320" w:type="dxa"/>
            <w:vMerge w:val="continue"/>
            <w:tcBorders/>
            <w:vAlign w:val="center"/>
          </w:tcPr>
          <w:p w14:paraId="7654AF1F">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30AB1A53">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81-85</w:t>
            </w:r>
          </w:p>
        </w:tc>
        <w:tc>
          <w:tcPr>
            <w:tcW w:w="3321" w:type="dxa"/>
            <w:vAlign w:val="center"/>
          </w:tcPr>
          <w:p w14:paraId="3B7281F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DCABA</w:t>
            </w:r>
          </w:p>
        </w:tc>
      </w:tr>
      <w:tr w14:paraId="1A5E49F7">
        <w:trPr>
          <w:trHeight w:val="476" w:hRule="exact"/>
        </w:trPr>
        <w:tc>
          <w:tcPr>
            <w:tcW w:w="3320" w:type="dxa"/>
            <w:vMerge w:val="continue"/>
            <w:tcBorders/>
            <w:vAlign w:val="center"/>
          </w:tcPr>
          <w:p w14:paraId="7F2264CA">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5C9032F3">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86-90</w:t>
            </w:r>
          </w:p>
        </w:tc>
        <w:tc>
          <w:tcPr>
            <w:tcW w:w="3321" w:type="dxa"/>
            <w:vAlign w:val="center"/>
          </w:tcPr>
          <w:p w14:paraId="5B6FBBD5">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CDCCB</w:t>
            </w:r>
          </w:p>
        </w:tc>
      </w:tr>
      <w:tr w14:paraId="729FD387">
        <w:trPr>
          <w:trHeight w:val="476" w:hRule="exact"/>
        </w:trPr>
        <w:tc>
          <w:tcPr>
            <w:tcW w:w="3320" w:type="dxa"/>
            <w:vMerge w:val="continue"/>
            <w:tcBorders/>
            <w:vAlign w:val="center"/>
          </w:tcPr>
          <w:p w14:paraId="6646486B">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2F64DA2E">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91-95</w:t>
            </w:r>
          </w:p>
        </w:tc>
        <w:tc>
          <w:tcPr>
            <w:tcW w:w="3321" w:type="dxa"/>
            <w:vAlign w:val="center"/>
          </w:tcPr>
          <w:p w14:paraId="57CC1A70">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DABCB</w:t>
            </w:r>
          </w:p>
        </w:tc>
      </w:tr>
      <w:tr w14:paraId="4574BADC">
        <w:trPr>
          <w:trHeight w:val="476" w:hRule="exact"/>
        </w:trPr>
        <w:tc>
          <w:tcPr>
            <w:tcW w:w="3320" w:type="dxa"/>
            <w:vMerge w:val="continue"/>
            <w:tcBorders/>
            <w:vAlign w:val="center"/>
          </w:tcPr>
          <w:p w14:paraId="6CC44993">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13BB4492">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96-100</w:t>
            </w:r>
          </w:p>
        </w:tc>
        <w:tc>
          <w:tcPr>
            <w:tcW w:w="3321" w:type="dxa"/>
            <w:vAlign w:val="center"/>
          </w:tcPr>
          <w:p w14:paraId="3C59F04F">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DCADB</w:t>
            </w:r>
          </w:p>
        </w:tc>
      </w:tr>
      <w:tr w14:paraId="13875F9C">
        <w:trPr>
          <w:trHeight w:val="476" w:hRule="exact"/>
        </w:trPr>
        <w:tc>
          <w:tcPr>
            <w:tcW w:w="3320" w:type="dxa"/>
            <w:vMerge w:val="continue"/>
            <w:tcBorders/>
            <w:vAlign w:val="center"/>
          </w:tcPr>
          <w:p w14:paraId="1767E962">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06E20DE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101-105</w:t>
            </w:r>
          </w:p>
        </w:tc>
        <w:tc>
          <w:tcPr>
            <w:tcW w:w="3321" w:type="dxa"/>
            <w:vAlign w:val="center"/>
          </w:tcPr>
          <w:p w14:paraId="4505237E">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CADBC</w:t>
            </w:r>
          </w:p>
        </w:tc>
      </w:tr>
      <w:tr w14:paraId="4838C493">
        <w:trPr>
          <w:trHeight w:val="476" w:hRule="exact"/>
        </w:trPr>
        <w:tc>
          <w:tcPr>
            <w:tcW w:w="3320" w:type="dxa"/>
            <w:vMerge w:val="continue"/>
            <w:tcBorders/>
            <w:vAlign w:val="center"/>
          </w:tcPr>
          <w:p w14:paraId="083AAA41">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20AC52B0">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106-110</w:t>
            </w:r>
          </w:p>
        </w:tc>
        <w:tc>
          <w:tcPr>
            <w:tcW w:w="3321" w:type="dxa"/>
            <w:vAlign w:val="center"/>
          </w:tcPr>
          <w:p w14:paraId="1AC2956D">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DBABD</w:t>
            </w:r>
          </w:p>
        </w:tc>
      </w:tr>
      <w:tr w14:paraId="440DE806">
        <w:trPr>
          <w:trHeight w:val="476" w:hRule="exact"/>
        </w:trPr>
        <w:tc>
          <w:tcPr>
            <w:tcW w:w="3320" w:type="dxa"/>
            <w:vMerge w:val="restart"/>
            <w:vAlign w:val="center"/>
          </w:tcPr>
          <w:p w14:paraId="7894DAB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资料分析</w:t>
            </w:r>
          </w:p>
        </w:tc>
        <w:tc>
          <w:tcPr>
            <w:tcW w:w="3321" w:type="dxa"/>
            <w:vAlign w:val="center"/>
          </w:tcPr>
          <w:p w14:paraId="4D944827">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111-115</w:t>
            </w:r>
          </w:p>
        </w:tc>
        <w:tc>
          <w:tcPr>
            <w:tcW w:w="3321" w:type="dxa"/>
            <w:vAlign w:val="center"/>
          </w:tcPr>
          <w:p w14:paraId="1CF0B7DE">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CDACD</w:t>
            </w:r>
          </w:p>
        </w:tc>
      </w:tr>
      <w:tr w14:paraId="3A81BB01">
        <w:trPr>
          <w:trHeight w:val="476" w:hRule="exact"/>
        </w:trPr>
        <w:tc>
          <w:tcPr>
            <w:tcW w:w="3320" w:type="dxa"/>
            <w:vMerge w:val="continue"/>
            <w:tcBorders/>
            <w:vAlign w:val="center"/>
          </w:tcPr>
          <w:p w14:paraId="257FFE61">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2113D261">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116-120</w:t>
            </w:r>
          </w:p>
        </w:tc>
        <w:tc>
          <w:tcPr>
            <w:tcW w:w="3321" w:type="dxa"/>
            <w:vAlign w:val="center"/>
          </w:tcPr>
          <w:p w14:paraId="2C827EE6">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CBACD</w:t>
            </w:r>
          </w:p>
        </w:tc>
      </w:tr>
      <w:tr w14:paraId="3FB50018">
        <w:trPr>
          <w:trHeight w:val="476" w:hRule="exact"/>
        </w:trPr>
        <w:tc>
          <w:tcPr>
            <w:tcW w:w="3320" w:type="dxa"/>
            <w:vMerge w:val="continue"/>
            <w:tcBorders/>
            <w:vAlign w:val="center"/>
          </w:tcPr>
          <w:p w14:paraId="1511F51D">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6284E97A">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121-125</w:t>
            </w:r>
          </w:p>
        </w:tc>
        <w:tc>
          <w:tcPr>
            <w:tcW w:w="3321" w:type="dxa"/>
            <w:vAlign w:val="center"/>
          </w:tcPr>
          <w:p w14:paraId="1495C3BF">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BDCAD</w:t>
            </w:r>
          </w:p>
        </w:tc>
      </w:tr>
      <w:tr w14:paraId="6D8C6844">
        <w:trPr>
          <w:trHeight w:val="476" w:hRule="exact"/>
        </w:trPr>
        <w:tc>
          <w:tcPr>
            <w:tcW w:w="3320" w:type="dxa"/>
            <w:vMerge w:val="continue"/>
            <w:tcBorders/>
            <w:vAlign w:val="center"/>
          </w:tcPr>
          <w:p w14:paraId="7A9E4A1B">
            <w:pPr>
              <w:jc w:val="cente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p>
        </w:tc>
        <w:tc>
          <w:tcPr>
            <w:tcW w:w="3321" w:type="dxa"/>
            <w:vAlign w:val="center"/>
          </w:tcPr>
          <w:p w14:paraId="7B922BEC">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126-130</w:t>
            </w:r>
          </w:p>
        </w:tc>
        <w:tc>
          <w:tcPr>
            <w:tcW w:w="3321" w:type="dxa"/>
            <w:vAlign w:val="center"/>
          </w:tcPr>
          <w:p w14:paraId="560E8DBE">
            <w:pPr>
              <w:jc w:val="center"/>
              <w:rPr>
                <w:rFonts w:hint="default" w:asciiTheme="minorEastAsia" w:hAnsiTheme="minorEastAsia" w:cstheme="minorEastAsia"/>
                <w:b/>
                <w:bCs/>
                <w:i w:val="0"/>
                <w:iCs w:val="0"/>
                <w:caps w:val="0"/>
                <w:color w:val="000000"/>
                <w:spacing w:val="0"/>
                <w:kern w:val="0"/>
                <w:sz w:val="21"/>
                <w:szCs w:val="21"/>
                <w:shd w:val="clear" w:fill="FFFFFF"/>
                <w:vertAlign w:val="baseline"/>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vertAlign w:val="baseline"/>
                <w:lang w:val="en-US" w:eastAsia="zh-CN" w:bidi="ar"/>
              </w:rPr>
              <w:t>BACBA</w:t>
            </w:r>
          </w:p>
        </w:tc>
      </w:tr>
    </w:tbl>
    <w:p w14:paraId="27960F30">
      <w:pPr>
        <w:tabs>
          <w:tab w:val="center" w:pos="4873"/>
        </w:tabs>
        <w:rPr>
          <w:rFonts w:hint="eastAsia" w:asciiTheme="minorEastAsia" w:hAnsiTheme="minorEastAsia" w:eastAsia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eastAsiaTheme="minorEastAsia" w:cstheme="minorEastAsia"/>
          <w:b/>
          <w:bCs/>
          <w:i w:val="0"/>
          <w:iCs w:val="0"/>
          <w:caps w:val="0"/>
          <w:color w:val="000000"/>
          <w:spacing w:val="0"/>
          <w:kern w:val="0"/>
          <w:sz w:val="21"/>
          <w:szCs w:val="21"/>
          <w:shd w:val="clear" w:fill="FFFFFF"/>
          <w:lang w:val="en-US" w:eastAsia="zh-CN" w:bidi="ar"/>
        </w:rPr>
        <w:br w:type="page"/>
      </w:r>
    </w:p>
    <w:p w14:paraId="55BD362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eastAsia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eastAsiaTheme="minorEastAsia" w:cstheme="minorEastAsia"/>
          <w:b/>
          <w:bCs/>
          <w:i w:val="0"/>
          <w:iCs w:val="0"/>
          <w:caps w:val="0"/>
          <w:color w:val="000000"/>
          <w:spacing w:val="0"/>
          <w:kern w:val="0"/>
          <w:sz w:val="21"/>
          <w:szCs w:val="21"/>
          <w:shd w:val="clear" w:fill="FFFFFF"/>
          <w:lang w:val="en-US" w:eastAsia="zh-CN" w:bidi="ar"/>
        </w:rPr>
        <w:t>一、政治理论</w:t>
      </w:r>
    </w:p>
    <w:p w14:paraId="7E7DE1C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1.D</w:t>
      </w:r>
    </w:p>
    <w:p w14:paraId="1B63CDF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t>①正确，2021年7月1日，习近平总书记在庆祝中国共产党成立100周年大会上的重要讲话中指出：“以史为鉴、开创未来，必须坚持和发展中国特色社会主义。走自己的路，是党的全部理论和实践立足点，更是党百年奋斗得出的历史结论······”</w:t>
      </w:r>
    </w:p>
    <w:p w14:paraId="5C12D8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t>②正确，2023年2月7日，习近平总书记在新进中央委员会的委员、候补委员和省部级主要领导干部学习贯彻习近平新时代中国特色社会主义思想和党的二十大精神研讨班开班式上的讲话中指出：“推进中国式现代化，必须坚持独立自主、自立自强，坚持把国家和民族发展放在自己力量的基点上，坚持把我国发展进步的命运牢牢掌握在自己手中。”</w:t>
      </w:r>
    </w:p>
    <w:p w14:paraId="1A0189E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t>③正确，2023年2月7日，习近平总书记在新进中央委员会的委员、候补委员和省部级主要领导干部学习贯彻习近平新时代中国特色社会主义思想和党的二十大精神研讨班上的讲话中指出：“中国式现代化既要物质财富极大丰富，也要精神财富极大丰富、在思想文化上自信自强。”</w:t>
      </w:r>
    </w:p>
    <w:p w14:paraId="5075531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t>④正确，2013年12月26日，习近平总书记在纪念毛泽东同志诞辰120周年座谈会上的讲话中指出：“独立自主是中华民族的优良传统，是中国共产党、中华人民共和国立党立国的重要原则。在中国这样一个人口众多和经济文化落后的东方大国进行革命和建设的国情与使命，决定了我们只能走自己的路。”</w:t>
      </w:r>
    </w:p>
    <w:p w14:paraId="1DAF04E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t>故正确的有①②③④，共4项。</w:t>
      </w:r>
    </w:p>
    <w:p w14:paraId="5769518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t>故正确答案为D。</w:t>
      </w:r>
    </w:p>
    <w:p w14:paraId="587099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i w:val="0"/>
          <w:iCs w:val="0"/>
          <w:caps w:val="0"/>
          <w:color w:val="000000"/>
          <w:spacing w:val="0"/>
          <w:kern w:val="0"/>
          <w:sz w:val="21"/>
          <w:szCs w:val="21"/>
          <w:shd w:val="clear" w:fill="FFFFFF"/>
          <w:lang w:val="en-US" w:eastAsia="zh-CN" w:bidi="ar"/>
        </w:rPr>
      </w:pPr>
    </w:p>
    <w:p w14:paraId="3CB6A6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2.C</w:t>
      </w:r>
    </w:p>
    <w:p w14:paraId="65F9AF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2025年6月16日出版的第12期《求是》杂志发表了习近平总书记的重要文章《用中长期规划指导经济社会发展是我们党治国理政的一种重要方式》。这是习近平总书记2015年10月至2025年4月期间有关重要论述的节录。</w:t>
      </w:r>
    </w:p>
    <w:p w14:paraId="6715F28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B两项错误，2020年8月24日，习近平总书记在经济社会领域专家座谈会上的讲话中指出：“用中长期规划指导经济社会发展，是我们党治国理政的一种重要方式。从1953年开始，我国已经编制实施了13个五年规划（计划），其中改革开放以来编制实施8个，有力推动了经济社会发展、综合国力提升、人民生活改善，创造了世所罕见的经济快速发展奇迹和社会长期稳定奇迹。实践证明，中长期发展规划既能充分发挥市场在资源配置中的决定性作用，又能更好发挥政府作用。”故A项“五年规划（计划）编制工作起始于1949年”表述有误，应为“1953年”；B项“政府在资源配置中的决定性作用”表述有误，应为“市场在资源配置中的决定性作用”。</w:t>
      </w:r>
    </w:p>
    <w:p w14:paraId="65DA7F3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C项正确，2020年10月29日，习近平总书记在党的十九届五中全会第二次全体会议上的讲话中指出：“从第一个五年计划到第十四个五年规划，一以贯之的主题是把我国建设成为社会主义现代化国家。”</w:t>
      </w:r>
    </w:p>
    <w:p w14:paraId="18CF6D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2020年9月25日，习近平总书记在对“十四五”规划编制工作网上意见征求活动的指示中指出：“通过互联网就‘十四五’规划编制向全社会征求意见和建议，在我国五年规划编制史上是第一次。这次活动效果很好，社会参与度很高，提出了许多建设性的意见和建议。”故第一次通过互联网向全社会征求意见和建议的并非“十五五”规划编制，而是“十四五”规划。</w:t>
      </w:r>
    </w:p>
    <w:p w14:paraId="6F04A21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011D353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FF065B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3.B</w:t>
      </w:r>
    </w:p>
    <w:p w14:paraId="2C54DCF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2025年4月16日，《求是》杂志发表习近平总书记重要文章《加快建设文化强国》（以下简称“文章”）。</w:t>
      </w:r>
    </w:p>
    <w:p w14:paraId="58EC1D0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54307C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①错误，②正确，文章指出：“第三，始终坚持文化建设着眼于人、落脚于人。文化强国之‘强’最终要体现在人民的思想境界、精神状态、文化修养上。要坚持以人民为中心，着眼满足人民群众多样化、多层次、多方面的精神文化需求，提升文化服务和文化产品供给能力，增强人民群众文化获得感、幸福感。要重视发挥文化养心志、育情操的作用，涵养全民族昂扬奋发的精神气质。”故①“为人民提供文化服务和文化产品的能力”表述错误，应为“人民的思想境界、精神状态、文化修养”。</w:t>
      </w:r>
    </w:p>
    <w:p w14:paraId="65E927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③④正确，文章指出：“文化创造核心在人。要把育人才、建队伍作为重要而紧迫的战略任务，统筹各类人才培养，建设一支规模宏大、结构合理、锐意创新的高水平文化人才队伍。要尊重人才成长规律，建立健全科学权威、公开透明的文艺和学术评价体系，完善符合文化领域特点的人才选拔、培养、使用、激励机制，营造识才、重才、爱才的良好政策环境。”</w:t>
      </w:r>
    </w:p>
    <w:p w14:paraId="052B35D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故②③④正确。</w:t>
      </w:r>
    </w:p>
    <w:p w14:paraId="16893EC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32A2AD9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4D53F2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4.A</w:t>
      </w:r>
    </w:p>
    <w:p w14:paraId="2A3BA59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2025年4月，中共中央、国务院印发了《加快建设农业强国规划（2024－2035年）》（以下简称《规划》）。</w:t>
      </w:r>
    </w:p>
    <w:p w14:paraId="6710F0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A项正确，B项错误，《规划》在“五、全链条推进农业产业体系升级，提升农业综合效益”中指出：“（十八）加快推进农业全面绿色转型······推进农业面源污染综合防治，发展生态循环农业。健全山水林田湖草沙一体化保护和系统治理机制。实施好长江十年禁渔和海洋伏季休渔，推进黄河流域农业深度节水控水。建立农业生态环境保护监测制度。推进生态综合补偿，健全横向生态保护补偿机制，统筹推进生态环境损害赔偿。”故B项“建立健全长江流域信息共享系统”无中生有，“长江流域”表述错误，应为“黄河流域”。</w:t>
      </w:r>
    </w:p>
    <w:p w14:paraId="0FBD7E9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C项错误，《规划》在“二、全方位夯实粮食安全根基，把中国人的饭碗端得更牢更稳”中指出：“（三）健全粮食生产扶持政策······健全粮食主产区利益补偿机制，完善产粮大县奖补制度，中央预算内投资向粮食主产区倾斜，省级统筹的土地出让收入可按规定用于粮食主产区的高标准农田建设、现代种业提升等，统筹建立粮食产销区省际横向利益补偿机制。”故“完善粮食产销奖补制度，中央预算内投资向粮食主销区倾斜”表述错误，应为“完善产粮大县奖补制度，中央预算内投资向粮食主产区倾斜”。</w:t>
      </w:r>
    </w:p>
    <w:p w14:paraId="281AC0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D项错误，《规划》在“三、全领域推进农业科技装备创新，加快实现高水平农业科技自立自强”中指出：“（六）加快农业科技创新水平整体跃升······加强农业知识产权保护和侵权打击。健全公益性和经营性相结合的农业科技推广体系，加强基层农技推广队伍建设。”故“推进农业科技推广体系，从经营性向公益性转变”表述错误，应为“健全公益性和经营性相结合的农业科技推广体系”。</w:t>
      </w:r>
    </w:p>
    <w:p w14:paraId="7D8503B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450C3D5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5CBA99F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5.D</w:t>
      </w:r>
    </w:p>
    <w:p w14:paraId="2192B57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2020年4月21日，人民日报发表《坚持法治国家、法治政府、法治社会一体建设》（以下简称文章）。</w:t>
      </w:r>
    </w:p>
    <w:p w14:paraId="42A0FE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A项正确，2020年11月16日，习总书记在中央全面依法治国工作会议上讲话中指出：“法治国家、法治政府、法治社会相辅相成，法治国家是法治建设的目标，法治政府是建设法治国家的重点，法治社会是构筑法治国家的基础。”</w:t>
      </w:r>
    </w:p>
    <w:p w14:paraId="341A712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B项正确，文章指出，法治政府是法治国家建设的主体和重点，是法治社会建设的先导和示范······建设法治政府对建设法治社会具有重要引领和带动作用。故D项“法治国家是依法治国的主体”表述错误，应为“法治政府是法治国家建设的主体和重点”。</w:t>
      </w:r>
    </w:p>
    <w:p w14:paraId="6E5B03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C项正确，文章指出，法治国家是法治政府、法治社会建设的目标，法治政府、法治社会建设必须服从、服务于法治国家建设。</w:t>
      </w:r>
    </w:p>
    <w:p w14:paraId="62CA77F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D项错误，2020年11月16日，习总书记在中央全面依法治国工作会议上讲话中指出：“我多次强调，推进全面依法治国，法治政府建设是重点任务和主体工程，对法治国家、法治社会建设具有示范带动作用，要率先突破。”且文章中指出，法治政府是法治社会建设的先导和示范。故“法治国家”表述错误，应该为“法治政府”。</w:t>
      </w:r>
    </w:p>
    <w:p w14:paraId="05CE947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本题为选非题，故正确答案为D。</w:t>
      </w:r>
    </w:p>
    <w:p w14:paraId="7AA14EC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219F392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备注：D选项：2014年10月通过的《中共中央关于全面推进依法治国若干重大问题的决定》中指出：“坚持人民主体地位。人民是依法治国的主体和力量源泉······”但题目主要是在考查法治政府、法治国家和法治社会的关系。）</w:t>
      </w:r>
    </w:p>
    <w:p w14:paraId="549CC90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1982074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6.A</w:t>
      </w:r>
    </w:p>
    <w:p w14:paraId="2F5A349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B项错误，2025年7月14日至15日，中央城市工作会议在北京举行。会议指出，我国城镇化正从快速增长期转向稳定发展期，城市发展正从大规模增量扩张阶段转向存量提质增效为主的阶段。城市工作要深刻把握、主动适应形势变化······转变城市工作重心，更加注重治理投入；转变城市工作方法，更加注重统筹协调。故B项“城市工作重心应向更加注重建设投入转变”表述错误，应为“城市工作重心应向更加注重治理投入转变”。</w:t>
      </w:r>
    </w:p>
    <w:p w14:paraId="16874B7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2025年7月14日至15日，中央城市工作会议在北京举行。会议部署城市工作7个方面的重点任务。一是着力优化现代化城市体系。着眼于提高城市对人口和经济社会发展的综合承载能力，发展组团式、网络化的现代化城市群和都市圈，分类推进以县城为重要载体的城镇化建设，继续推进农业转移人口市民化，促进大中小城市和小城镇协调发展，促进城乡融合发展。其次，会议指出，要以坚持城市内涵式发展为主线。故选项“着力通过外延扩张发展组团式的现代化城市群和都市圈”表述错误，应为“着力通过内涵式发展组团式、网络化的现代化城市群和都市圈”。</w:t>
      </w:r>
    </w:p>
    <w:p w14:paraId="0252E24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2015年12月20日，习近平总书记在中央城市工作会议上指出：“要尊重市民对城市发展决策的知情权、参与权、监督权，鼓励企业和市民通过各种方式参与城市建设、管理。在共建共享过程中，城市政府应该从‘划桨人’转变为‘掌舵人’，同市场、企业、市民一起管理城市事务、承担社会责任。”</w:t>
      </w:r>
    </w:p>
    <w:p w14:paraId="79A2AF0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011C439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7E891BB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7.C</w:t>
      </w:r>
    </w:p>
    <w:p w14:paraId="4760213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2025年2月28日，《求是》杂志发表习近平总书记重要文章《经济工作必须统筹好几对重要关系》。</w:t>
      </w:r>
    </w:p>
    <w:p w14:paraId="2299FB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文章指出：“三是必须统筹好培育新动能和更新旧动能的关系，因地制宜发展新质生产力。要以科技创新为引领，大力培育壮大新兴产业和未来产业，占据国际竞争制高点，塑造经济发展新动能、新优势。同时，加快推动作为经济增长和就业收入基本依托的传统产业改造升级，使之焕发新的生机活力，推动新旧发展动能平稳接续转换。”</w:t>
      </w:r>
    </w:p>
    <w:p w14:paraId="6271D3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文章指出：“二是必须统筹好总供给和总需求的关系，畅通国民经济循环。要坚持供需两侧协同发力、动态平衡，持续深化供给侧结构性改革，有进有退、有保有压，增强供给与需求的适配性、平衡性。扩大内需既关系经济稳定，也关系经济安全，不是权宜之计，而是战略之举。要加快补上内需特别是消费短板，使内需成为拉动经济增长的主动力和稳定锚。”</w:t>
      </w:r>
    </w:p>
    <w:p w14:paraId="221B306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文章指出：“五是必须统筹好提升质量和做大总量的关系，夯实中国式现代化的物质基础。我国拥有巨大的经济体量、市场容量和产业配套能力，是提升质量、做优做强的有利条件。我国人均国民收入尚未达到世界平均水平，发展不平衡不充分问题仍然突出。要坚持以质取胜和发挥规模效应相统一，用好超大规模市场优势和丰富应用场景，培育更多世界一流企业和领先技术，把质的有效提升和量的合理增长统一于高质量发展的全过程。”故“要坚持以量取胜、充分发挥规模效应”表述有误，应为“要坚持以质取胜和发挥规模效应相统一”。</w:t>
      </w:r>
    </w:p>
    <w:p w14:paraId="01002BC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文章指出：“四是必须统筹好做优增量和盘活存量的关系，全面提高资源配置效率。经过长期发展，我国需要同时加强资产管理和负债管理，统筹用好各类增量资源和存量资源，善于通过盘活存量来带动增量。要持续推动产业园区‘腾笼换鸟’，用好置换存量隐性债务、盘活存量土地等政策，统筹做优增量和盘活存量、管好资产和调整负债，拓展新的发展空间。”</w:t>
      </w:r>
    </w:p>
    <w:p w14:paraId="52D3C52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本题为选非题，故正确答案为C。</w:t>
      </w:r>
    </w:p>
    <w:p w14:paraId="443E1E4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BD8065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8.D</w:t>
      </w:r>
    </w:p>
    <w:p w14:paraId="0BA47D9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2025年7月30日，中共中央政治局召开会议，决定召开二十届四中全会，分析研究当前经济形势和经济工作，中共中央总书记习近平主持会议。</w:t>
      </w:r>
    </w:p>
    <w:p w14:paraId="78D11C6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A项正确，会议指出，要扎实推进乡村全面振兴，巩固拓展脱贫攻坚成果，确保农村人口不发生规模性返贫致贫。要加强耕地保护和质量提升，抓好农业生产，努力夺取全年粮食丰收。</w:t>
      </w:r>
    </w:p>
    <w:p w14:paraId="6D145E9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C两项正确，D项错误，会议强调，要扎实做好民生保障工作。突出就业优先政策导向，促进高校毕业生、退役军人、农民工等重点群体就业。落实好惠民政策，健全分层分类社会救助体系。夯实“三农”基础，推动粮食和重要农产品价格保持在合理水平。巩固拓展脱贫攻坚成果，确保不发生规模性返贫致贫。始终把人民群众生命安全放在第一位，加强安全生产和食品安全监管，全力做好防汛应急抢险救灾，保障迎峰度夏期间能源电力供应。做好“十五五”规划编制工作。故D项“人民群众财产安全”表述有误，应为“人民群众生命安全”。</w:t>
      </w:r>
    </w:p>
    <w:p w14:paraId="2B35BE9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本题为选非题，故正确答案为D。</w:t>
      </w:r>
    </w:p>
    <w:p w14:paraId="5BCEEE6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BC78A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9.A</w:t>
      </w:r>
    </w:p>
    <w:p w14:paraId="0C381E0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2024年11月16日，《求是》杂志发表了习近平总书记题为《以人口高质量发展支撑中国式现代化》的重要文章，以下简称文章。</w:t>
      </w:r>
    </w:p>
    <w:p w14:paraId="66D91F8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A项正确，文章中“（二）做好新时代人口工作的基本思路和重大原则”部分指出：“二是坚持以系统观念统筹谋划人口问题。要树立‘大人口观’，从中国式现代化全局出发，深入研判人口变化对经济社会发展的复杂影响，在制定经济社会政策时充分考虑人口变化因素，推动人口与财政、货币、就业、产业、投资、消费、生态、区域等政策形成系统集成效应。”</w:t>
      </w:r>
    </w:p>
    <w:p w14:paraId="10FFA1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B项错误，文章中“（二）做好新时代人口工作的基本思路和重大原则”部分指出：“一是坚持以人口高质量发展促进经济社会高质量发展。我国已经进入推动高质量发展的关键时期，必须推动人口工作由调节数量为主向提升素质、稳定总量、优化结构、畅通流动转变，以人口高质量发展打造高素质人力资源，加快构建新发展格局，着力推动高质量发展。”故“推动人口工作由稳定总量、畅通流动向调节数量、优化结构转变”说法错误，应为“必须推动人口工作由调节数量为主向提升素质、稳定总量、优化结构、畅通流动转变”。</w:t>
      </w:r>
    </w:p>
    <w:p w14:paraId="0E25640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C项错误，文章中“（二）做好新时代人口工作的基本思路和重大原则”部分指出：“三是坚持以改革创新推动人口高质量发展。过去人口工作以‘管’为主，今后工作覆盖面更广了、颗粒度更细了，要更加重视‘引导’和‘激励’的办法，由主要依靠政府力量向政府和社会协同治理转变。”故“由社会治理向政府治理转变”说法错误，应为“由主要依靠政府力量向政府和社会协同治理转变”。</w:t>
      </w:r>
    </w:p>
    <w:p w14:paraId="628943E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D项错误，文章中“（二）做好新时代人口工作的基本思路和重大原则”部分指出：“四是坚持促进人的全面发展和全体人民共同富裕。做好新时代人口工作，要顺应人民群众对美好生活的期待，坚持人民主体地位，把人口高质量发展同人民高品质生活紧密结合起来······”故“把人口高速增长同人民高品质生活紧密结合起来”说法错误，应为“把人口高质量发展同人民高品质生活紧密结合起来”。</w:t>
      </w:r>
    </w:p>
    <w:p w14:paraId="466C025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5C72CAC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7360CED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10.B</w:t>
      </w:r>
    </w:p>
    <w:p w14:paraId="187185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2025年10月23日，中国共产党第二十届中央委员会第四次全体会议通过了《中共中央关于制定国民经济和社会发展第十五个五年规划的建议》，以下简称《建议》。</w:t>
      </w:r>
    </w:p>
    <w:p w14:paraId="73815B7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建议》中“十三、推进国家安全体系和能力现代化，建设更高水平平安中国”部分指出：“（50）加强重点领域国家安全能力建设。锻造实战实用的国家安全能力，突出保障事关国家长治久安、经济健康稳定、人民安居乐业的重大安全，把捍卫政治安全摆在首位。”故“把捍卫国土安全摆在首位”说法错误，应为“把捍卫政治安全摆在首位”。</w:t>
      </w:r>
    </w:p>
    <w:p w14:paraId="1535091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建议》中“十三、推进国家安全体系和能力现代化，建设更高水平平安中国”部分指出：“（50）加强重点领域国家安全能力建设······提高防范化解重点领域风险能力，统筹推进房地产、地方政府债务、中小金融机构等风险有序化解，严防系统性风险。”</w:t>
      </w:r>
    </w:p>
    <w:p w14:paraId="444471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建议》中“十三、推进国家安全体系和能力现代化，建设更高水平平安中国”部分指出：“（49）健全国家安全体系······坚持以战略为先导、政策为抓手、法治为保障、风险防控为落脚点，完善国家安全法治体系、战略体系、政策体系、风险防控体系。”故“坚持以风险防控为先导、法治保障为落脚点”说法错误，应为“坚持以战略为先导、风险防控为落脚点”。</w:t>
      </w:r>
    </w:p>
    <w:p w14:paraId="636238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建议》中“十三、推进国家安全体系和能力现代化，建设更高水平平安中国”部分指出：“（51）提高公共安全治理水平。完善公共安全体系，推动公共安全治理模式向事前预防转型。”故“推动公共安全治理模式由事后处理向事中控制转型”说法错误，应为“推动公共安全治理模式向事前预防转型”。</w:t>
      </w:r>
    </w:p>
    <w:p w14:paraId="624E32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68BE10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E8857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11.C</w:t>
      </w:r>
    </w:p>
    <w:p w14:paraId="20E0D0F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①错误，《习近平谈治国理政》第四卷中的《牢牢把住粮食安全主动权》中指出：“‘五谷者，万民之命，国之重宝。’我反复强调，粮食多一点少一点是战术问题，粮食安全是战略问题应对。新冠肺炎疫情，粮食和重要农副产品供给充裕功不可没，充分印证了这一点。”故“粮食多一点少一点是战略问题，粮食安全是战术问题”表述错误，应为“粮食多一点少一点是战术问题，粮食安全是战略问题”。</w:t>
      </w:r>
    </w:p>
    <w:p w14:paraId="22D311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②正确，2024年1月15日，《求是》杂志发表的习近平总书记重要文章《完整、准确、全面贯彻落实关于做好新时代党的统一战线工作的重要思想》中指出：“第二，必须解决好人心和力量问题。人心向背、力量对比是决定党和人民事业成败的关键，是最大的政治。统战工作的本质要求是大团结大联合，解决的就是人心和力量问题。这是党治国理政必须下大气力解决好的重大问题。”</w:t>
      </w:r>
    </w:p>
    <w:p w14:paraId="2D82C69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③正确，2022年3月1日，习近平总书记在中央党校（国家行政学院）中青年干部培训班开班式上发表重要讲话强调：“要心怀‘国之大者’，站在全局和战略的高度想问题、办事情，一切工作都要以贯彻落实党中央决策部署为前提，不能为了局部利益损害全局利益、为了暂时利益损害根本利益和长远利益。”</w:t>
      </w:r>
    </w:p>
    <w:p w14:paraId="375358B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④正确，2023年7月3日，《学习时报》发表《习近平总书记论战略思维》中指出：“习近平总书记视野开阔、胸襟博大······谈到外交工作，他指出：‘自觉把党的对外工作放到党和国家工作大局中来认识，放到中国与世界关系的发展变化中来把握，放到国家总体外交的战略部署中来谋划。’”</w:t>
      </w:r>
    </w:p>
    <w:p w14:paraId="5135FE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综上，②③④表述正确，共3项。</w:t>
      </w:r>
    </w:p>
    <w:p w14:paraId="7C9A758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5AC6F7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C028C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12.D</w:t>
      </w:r>
    </w:p>
    <w:p w14:paraId="38E2D6B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2018年9月10日，习近平总书记在全国教育大会上的讲话中指出：“我们要坚持我国教育现代化的社会主义方向，坚持教育公益性原则，把教育公平作为国家基本教育政策，大力推进教育体制改革创新。”故“均等化”表述错误，应为“公益性”。</w:t>
      </w:r>
    </w:p>
    <w:p w14:paraId="4A09C46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2025年6月1日，《求是》杂志发表的习近平总书记重要文章《加快建设教育强国》指出：“三是培养人才和满足社会需要的关系······要完善人才培养与经济社会发展需要适配机制，顺应时代发展要求，动态调整学科专业，优化办学资源配置，完善学生实习实践制度，努力让每一位人才都能人尽其才、才尽其用、各得其所。”故“适度增加学科专业数量”表述错误，应为“动态调整学科专业”。</w:t>
      </w:r>
    </w:p>
    <w:p w14:paraId="401CC84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2025年6月1日，《求是》杂志发表的习近平总书记重要文章《加快建设教育强国》指出：“一是支撑国家战略和满足民生需求的关系。要把培养国家重大战略急需人才摆到更加突出位置，着力造就拔尖创新人才，推动实现高水平科技自立自强。聚焦解决教育发展不平衡不充分问题，不断满足人民群众更高质量更加多样的教育需求。”故“要把引进全球顶尖科学家摆到更加突出位置”表述错误，应为“要把培养国家重大战略急需人才摆到更加突出位置”。</w:t>
      </w:r>
    </w:p>
    <w:p w14:paraId="5CA808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5F3BF4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2023年5月29日，中共中央政治局就建设教育强国进行第五次集体学习。习近平总书记强调，从教育大国到教育强国是一个系统性跃升和质变，必须以改革创新为动力。要坚持系统观念，统筹推进育人方式、办学模式、管理体制、保障机制改革，坚决破除一切制约教育高质量发展的思想观念束缚和体制机制弊端，全面提高教育治理体系和治理能力现代化水平。</w:t>
      </w:r>
    </w:p>
    <w:p w14:paraId="7E87411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211CD09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76BE6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13.B</w:t>
      </w:r>
    </w:p>
    <w:p w14:paraId="2EB598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当地时间2024年11月18日，国家主席习近平在巴西里约热内卢出席二十国集团领导人第十九次峰会第二阶段会议并发表题为《携手构建公正合理的全球治理体系》的讲话，以下简称讲话。</w:t>
      </w:r>
    </w:p>
    <w:p w14:paraId="6AFB26C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习近平主席在讲话中指出：“第三，完善全球贸易治理，建设开放型世界经济······要避免经济问题政治化、人为割裂全球市场，避免以绿色低碳为名、行保护主义之实。”故“适应经济问题政治化的潮流”“推行贸易保护政策”表述错误。</w:t>
      </w:r>
    </w:p>
    <w:p w14:paraId="54003D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习近平主席在讲话中指出：“第三，完善全球贸易治理，建设开放型世界经济······两年前，中国同印度尼西亚等国共同发起《产业链供应链韧性与稳定国际合作倡议》，呼吁构建更具平等性、包容性和建设性的产业链供应链伙伴关系，我们愿同各方就此加强合作。”</w:t>
      </w:r>
    </w:p>
    <w:p w14:paraId="05C9B8A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习近平主席在讲话中指出：“第三，完善全球贸易治理，建设开放型世界经济。要把发展置于国际经贸议程中心地位，持续推动贸易和投资自由化便利化，要继续推进世界贸易组织改革······”故“把安全置于国际经贸议程中心地位”表述错误，应为“把发展置于国际经贸议程中心地位”。</w:t>
      </w:r>
    </w:p>
    <w:p w14:paraId="31E82B9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习近平主席在讲话中指出：“第三，完善全球贸易治理，建设开放型世界经济······要积极推进世界贸易组织规则与时俱进，既要解决长期未决议题，又要积极探索制定面向未来的新规则，提高多边贸易体制的权威性、有效性和相关性。”故“一以贯之保持世界贸易组织规则不变”表述错误，应为“积极推进世界贸易组织规则与时俱进”。</w:t>
      </w:r>
    </w:p>
    <w:p w14:paraId="58B48E9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38F8E0F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78695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14.C</w:t>
      </w:r>
    </w:p>
    <w:p w14:paraId="5BFAC01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2024年6月24日，习近平总书记在全国科技大会、国家科学技术奖励大会、两院院士大会上发表重要讲话（以下简称讲话）。</w:t>
      </w:r>
    </w:p>
    <w:p w14:paraId="2276B0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习总书记在讲话中指出：“要保持战略定力，坚持有所为有所不为，突出国家战略需求，在若干重要领域实施科技战略部署，凝练实施一批新的重大科技项目，形成竞争优势，赢得战略主动。”故“突出经济发展需求”表述错误，应为“突出国家战略需求”。</w:t>
      </w:r>
    </w:p>
    <w:p w14:paraId="10847F8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习总书记在讲话中指出：“要充分发挥市场在科技资源配置中的决定性作用，更好发挥政府各方面作用，调动产学研各环节的积极性，形成共促关键核心技术攻关的工作格局。”故“人才”表述错误，应为“市场”。</w:t>
      </w:r>
    </w:p>
    <w:p w14:paraId="18E60DD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C项正确，习总书记在讲话中指出：“融合的关键是强化企业科技创新主体地位。要充分发挥科技领军企业龙头作用，鼓励中小企业和民营企业科技创新，支持企业牵头或参与国家重大科技项目。”</w:t>
      </w:r>
    </w:p>
    <w:p w14:paraId="3736D93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习总书记在讲话中指出：“要提高基础研究组织化程度，完善竞争性支持和稳定支持相结合的投入机制，强化面向重大科学问题的协同攻关，同时鼓励自由探索，努力提出原创基础理论、掌握底层技术原理，筑牢科技创新根基和底座。”故“降低基础研究组织化程度”“强化自由探索”“鼓励面向重大科学问题的协同攻关”表述错误，应为“提高基础研究组织化程度”“鼓励自由探索”“强化面向重大科学问题的协同攻关”。</w:t>
      </w:r>
    </w:p>
    <w:p w14:paraId="09801AB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47E483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D635EF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B6CE2B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3C1E96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15.A</w:t>
      </w:r>
    </w:p>
    <w:p w14:paraId="5F7A61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A项正确，2022年3月1日，习近平总书记在春季学期中央党校（国家行政学院）中青年干部培训班开班式上指出：“树立和践行正确政绩观，起决定性作用的是党性。”</w:t>
      </w:r>
    </w:p>
    <w:p w14:paraId="3F67F12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2023年4月3日，在学习贯彻习近平新时代中国特色社会主义思想主题教育工作会议上，习近平总书记对开展主题教育的总要求“学思想、强党性、重实践、建新功”作出深刻阐释，指出：“强党性，就是要自觉用新时代中国特色社会主义思想改造主观世界，深刻领会这一思想关于坚定理想信念、提升思想境界、加强党性锻炼等一系列要求，始终保持共产党人的政治本色。”因此“用马克思主义思想改造客观世界”表述错误，应为“用新时代中国特色社会主义思想改造主观世界”。</w:t>
      </w:r>
    </w:p>
    <w:p w14:paraId="4273F66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2022年1月18日，习近平总书记在十九届中央纪委六次全会上的讲话指出：“党性、党风、党纪是有机整体，党性是根本，党风是表现，党纪是保障。”因此“党风是保障，党纪是表现”表述错误，应为“党风是表现，党纪是保障。”</w:t>
      </w:r>
    </w:p>
    <w:p w14:paraId="2B51ED7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2018年1月5日，习近平总书记在新进中央委员会的委员、候补委员和省部级主要领导干部学习贯彻习近平新时代中国特色社会主义思想和党的十九大精神研讨班上的讲话指出：“作风问题本质上是党性问题。领导干部的作风直接关系党内风气和政治生态，关系民心向背，决定着党的群众基础。”2024年12月26日至27日，习近平总书记在主持召开中央政治局民主生活会时强调：“领导干部要把锤炼党性、提高思想觉悟作为终身课题，活到老、学到老、修养到老。要把政治修养摆在党性修养的首位，从党的创新理论中汲取党性滋养，把学习遵守贯彻党章党规党纪作为党性修养的重要内容。”因此“要把作风建设摆在党性修养的首位”表述错误，应为“要把政治修养摆在党性修养的首位”。</w:t>
      </w:r>
    </w:p>
    <w:p w14:paraId="07E1C3D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1CD698D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EAA72B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16.D</w:t>
      </w:r>
    </w:p>
    <w:p w14:paraId="7D6065B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A项正确，在习近平新时代中国特色社会主义思想中，必须坚持问题导向并非一般性的要求，而是上升到了世界观和方法论的高度，具有深刻的哲学内涵。必须坚持问题导向是马克思主义的鲜明特点，是党的十八大以来党治国理政的突出特点，是推进马克思主义中国化时代化的现实着眼点。</w:t>
      </w:r>
    </w:p>
    <w:p w14:paraId="77277CC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B项正确，习近平总书记强调，要增强问题意识，聚焦人民群众急难愁盼问题等一系列重大问题。人民最关心最直接最现实的利益问题正是群众急难愁盼问题，坚持问题导向必然要求抓住这类问题，并以此为着力点制定政策、推进工作，切实解决群众诉求。</w:t>
      </w:r>
    </w:p>
    <w:p w14:paraId="0EE5B9E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 xml:space="preserve">C项正确，问题是事物矛盾的表现形式，矛盾无处不在、无时不有（普遍性），矛盾是客观存在的（客观性）。坚持问题导向，就是承认矛盾、分析矛盾、解决矛盾，这直接体现了矛盾的普遍性和客观性。 </w:t>
      </w:r>
    </w:p>
    <w:p w14:paraId="28265E9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 xml:space="preserve">D项错误，体现变与不变、继承与发展辩证统一的是“坚持守正创新”，而非“坚持问题导向”。守正意味着坚守马克思主义基本原理、党的根本宗旨等不变的原则，创新则是结合时代发展推出新理念新思路新办法，二者的结合正是这种辩证统一的体现。而坚持问题导向的本质是实事求是、一切从实际出发，核心是不断认识矛盾、解决矛盾以推动事物发展。 </w:t>
      </w:r>
    </w:p>
    <w:p w14:paraId="0D6CB0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本题为选非题，故正确答案为D。</w:t>
      </w:r>
    </w:p>
    <w:p w14:paraId="078711C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0577FD0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17.A</w:t>
      </w:r>
    </w:p>
    <w:p w14:paraId="532FD96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辩证法并非由马克思创立，而是历经多个时代、经多位哲学家逐步完善发展而来，是研究思维过程及矛盾运动的哲学方法。马克思和恩格斯的贡献在于批判继承了黑格尔辩证法的合理内核，摒弃其唯心主义外壳，结合唯物主义立场创立了唯物辩证法。唯物辩证法是我们认识世界和改造世界的根本方法。</w:t>
      </w:r>
    </w:p>
    <w:p w14:paraId="71D325C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C两项正确，2018年5月4日，习总书记在纪念马克思诞辰200周年大会上的讲话中指出：“对待科学的理论必须有科学的态度······科学社会主义基本原则不能丢，丢了就不是社会主义。同时，科学社会主义也绝不是一成不变的教条。我说过，当代中国的伟大社会变革，不是简单延续我国历史文化的母版，不是简单套用马克思主义经典作家设想的模板，不是其他国家社会主义实践的再版，也不是国外现代化发展的翻版。”</w:t>
      </w:r>
    </w:p>
    <w:p w14:paraId="50864D5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2018年5月4日，习总书记在纪念马克思诞辰200周年大会上的讲话中指出：“从《共产党宣言》发表到今天，170年过去了，人类社会发生了翻天覆地的变化，但马克思主义所阐述的一般原理整个来说仍然是完全正确的。”</w:t>
      </w:r>
    </w:p>
    <w:p w14:paraId="6771B72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本题为选非题，故正确答案为A。</w:t>
      </w:r>
    </w:p>
    <w:p w14:paraId="4DE9557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53F77C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18.C</w:t>
      </w:r>
    </w:p>
    <w:p w14:paraId="2499694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A项错误，实践是正确发挥人的主观能动性的根本途径。正确的认识要变为现实的物质力量，只能通过物质的活动即实践才能达到。选项表述颠倒了“正确发挥主观能动性”和“实践”的地位。</w:t>
      </w:r>
    </w:p>
    <w:p w14:paraId="725B773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实践是人类能动地改造世界的社会性的物质活动，实践的过程即“改造客观世界”，而对实践结果的检验和评价，本质上是实践作为真理检验标准的体现——即通过实践结果判断认识是否符合客观实际。实践的过程不仅仅是对于结果的检验和评价。</w:t>
      </w:r>
    </w:p>
    <w:p w14:paraId="7F18F2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马克思主义认为，实践是人类能动地改造客观世界的物质活动，其中生产实践是人类生存和发展最基本的实践形式。人类通过生产实践获取物质生活资料，解决人与自然的矛盾，是其他一切社会活动的基础。没有生产实践提供的物质前提，人类的生存无从谈起，更无法开展其他高级社会活动，因此“实践是人类生存和发展最基本的活动”说法正确，符合马克思主义实践观的核心内涵。</w:t>
      </w:r>
    </w:p>
    <w:p w14:paraId="5D99A46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实践的本质特征之一是自觉能动性，即人类的实践活动是有目的、有意识的能动活动，是在一定认识指导下主动改造世界的行为。而“无目的的适应环境的本能活动”是动物的生存行为，不具备人类实践的目的性和能动性。</w:t>
      </w:r>
    </w:p>
    <w:p w14:paraId="0E5891B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665181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EC65B0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19.B</w:t>
      </w:r>
    </w:p>
    <w:p w14:paraId="7D8DEF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2025年7月，习近平总书记在山西考察时指出，建设国家资源型经济转型综合配套改革试验区是党中央交给山西的一项战略任务，要进一步统一思想，保持定力，坚定有序推进转型发展。重点要抓好能源转型、产业升级和适度多元发展。故“江苏”错误，应为“山西”。</w:t>
      </w:r>
    </w:p>
    <w:p w14:paraId="721F5B9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B项正确，2024年5月，习近平总书记在山东考察时指出，要发挥海洋资源丰富的得天独厚优势，经略海洋、向海图强，打造世界级海洋港口群，打造现代海洋经济发展高地。</w:t>
      </w:r>
    </w:p>
    <w:p w14:paraId="3F5A8B4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2025年3月5日，习近平总书记在参加十四届全国人大三次会议江苏代表团审议时发表的重要讲话中强调，江苏要把握好挑大梁的着力点，在推动科技创新和产业创新融合上打头阵，在推进深层次改革和高水平开放上勇争先，在落实国家重大发展战略上走在前，在促进全体人民共同富裕上作示范。故“云南”错误，应为“江苏”。</w:t>
      </w:r>
    </w:p>
    <w:p w14:paraId="297E34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2024年12月17日，习近平总书记在海南三亚听取海南省委和省政府工作汇报时发表的重要讲话中强调，聚焦实现贸易、投资、跨境资金流动、人员进出、运输来往自由便利和数据安全有序流动，对标国际高水平经贸规则，大力推进制度型开放，营造市场化、法治化、国际化一流营商环境。故“贵州”错误，应为“海南”。</w:t>
      </w:r>
    </w:p>
    <w:p w14:paraId="744087A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7253827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D56178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20.B</w:t>
      </w:r>
    </w:p>
    <w:p w14:paraId="4F91A2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2025年9月1日出版的第17期《求是》杂志发表习近平总书记的重要文章《弘扬伟大抗战精神，向着中华民族伟大复兴的光辉彼岸奋勇前进》。</w:t>
      </w:r>
    </w:p>
    <w:p w14:paraId="6B1ADA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A项正确，文章指出，中国人民抗日战争胜利是以爱国主义为核心的民族精神的伟大胜利。爱国主义是我们民族精神的核心，是中国人民和中华民族同心同德、自强不息的精神纽带。</w:t>
      </w:r>
    </w:p>
    <w:p w14:paraId="1E8E2FF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C项正确，文章指出，中国人民抗日战争胜利，是近代以来中国抗击外敌入侵的第一次完全胜利。这一伟大胜利，彻底粉碎了日本军国主义殖民奴役中国的图谋，洗刷了近代以来中国抗击外来侵略屡战屡败的民族耻辱。这一伟大胜利，重新确立了中国在世界上的大国地位，使中国人民赢得了世界爱好和平人民的尊敬。这一伟大胜利，开辟了中华民族伟大复兴的光明前景，开启了古老中国凤凰涅槃、浴火重生的新征程。因此B项“第一次确立了中国在世界上的大国地位”表述错误，应为“重新确立了中国在世界上的大国地位”。</w:t>
      </w:r>
    </w:p>
    <w:p w14:paraId="729728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文章指出，这（指中国人民抗日战争）是近代以来中国人民反抗外敌入侵持续时间最长、规模最大、牺牲最多的民族解放斗争，也是第一次取得完全胜利的民族解放斗争。这个伟大胜利，是中华民族从近代以来陷入深重危机走向伟大复兴的历史转折点、也是世界反法西斯战争胜利的重要组成部分，是中国人民的胜利、也是世界人民的胜利。</w:t>
      </w:r>
    </w:p>
    <w:p w14:paraId="2F8008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本题为选非题，故正确答案为B。</w:t>
      </w:r>
    </w:p>
    <w:p w14:paraId="5F7503A5">
      <w:pPr>
        <w:pageBreakBefore w:val="0"/>
        <w:kinsoku/>
        <w:wordWrap/>
        <w:overflowPunct/>
        <w:topLinePunct w:val="0"/>
        <w:autoSpaceDE/>
        <w:autoSpaceDN/>
        <w:bidi w:val="0"/>
        <w:adjustRightInd/>
        <w:snapToGrid/>
        <w:spacing w:line="288" w:lineRule="auto"/>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br w:type="page"/>
      </w:r>
    </w:p>
    <w:p w14:paraId="771EDDB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lang w:val="en-US" w:eastAsia="zh-CN" w:bidi="ar"/>
        </w:rPr>
        <w:t>二、常识判断</w:t>
      </w:r>
    </w:p>
    <w:p w14:paraId="321BB7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21.D</w:t>
      </w:r>
    </w:p>
    <w:p w14:paraId="6607DC8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A项正确，根据《中华人民共和国监察法实施条例》第十四条第二款规定：“再派出监察机构、监察专员开展监察工作，受派出它的监察机构、监察专员领导。”因此，再派出的监察专员王某在开展监察工作过程中，受派出他的监察机构领导。</w:t>
      </w:r>
    </w:p>
    <w:p w14:paraId="0179463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B项正确，根据《中华人民共和国监察法》第二十三条第一款第二项规定：“被调查人涉嫌严重职务违法或者职务犯罪，并有下列情形之一的，经监察机关依法审批，可以对其采取责令候查措施：（二）符合留置条件，但患有严重疾病、生活不能自理的，系怀孕或者正在哺乳自己婴儿的妇女，或者生活不能自理的人的唯一扶养人。”因此，被调查人张某处于怀孕期间，符合采取责令候查措施的情形。</w:t>
      </w:r>
    </w:p>
    <w:p w14:paraId="4E1E66E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C项正确，根据《中华人民共和国监察法》第六十七条第一项规定：“办理监察事项的监察人员有下列情形之一的，应当自行回避，监察对象、检举人及其他有关人员也有权要求其回避：（一）是监察对象或者检举人的近亲属的。”因此，监察人员黄某系监察对象刘某的丈夫，符合自行回避的情形。</w:t>
      </w:r>
    </w:p>
    <w:p w14:paraId="5E4E560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D项错误，根据《中华人民共和国监察法》第六十四条第一款规定：“监察人员涉嫌严重职务违法或者职务犯罪，为防止造成更为严重的后果或者恶劣影响，监察机关经依法审批，可以对其采取禁闭措施。禁闭的期限不得超过七日。”因此，监察人员李某被采取15日禁闭措施，不符合“禁闭的期限不得超过七日”的规定。</w:t>
      </w:r>
    </w:p>
    <w:p w14:paraId="4035220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本题为选非题，故正确答案为D。</w:t>
      </w:r>
    </w:p>
    <w:p w14:paraId="5E926E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p>
    <w:p w14:paraId="6AABEBF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22.C</w:t>
      </w:r>
    </w:p>
    <w:p w14:paraId="13C8452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中华人民共和国司法部发布的《民营经济必将走向更加广阔的舞台——写在民营经济促进法施行之际》指出：“第一部专门关于民营经济发展的基础性法律；第一次将‘两个毫不动摇’写入法律；第一次明确民营经济的法律地位；第一次明确规定‘促进民营经济持续、健康、高质量发展，是国家长期坚持的重大方针政策’······民营经济促进法的制定和实施，在我国民营经济发展史上具有里程碑意义。”</w:t>
      </w:r>
    </w:p>
    <w:p w14:paraId="4DF60D7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根据《中华人民共和国民营经济促进法》第五十三条第二款规定：“司法行政部门建立涉企行政执法诉求沟通机制，组织开展行政执法检查，加强对行政执法活动的监督，及时纠正不当行政执法行为。”</w:t>
      </w:r>
    </w:p>
    <w:p w14:paraId="172172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根据《中华人民共和国民营经济促进法》第七十条规定：“地方各级人民政府及其有关部门应当履行依法向民营经济组织作出的政策承诺和与民营经济组织订立的合同，不得以行政区划调整、政府换届、机构或者职能调整以及相关人员更替等为由违约、毁约。因国家利益、社会公共利益需要改变政策承诺、合同约定的，应当依照法定权限和程序进行，并对民营经济组织因此受到的损失予以补偿。”因此，并非规定“合同不得变更”，而是强调政府不得随意违约毁约，同时明确了基于公共利益的合法变更情形及补偿。</w:t>
      </w:r>
    </w:p>
    <w:p w14:paraId="1F2E339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根据《中华人民共和国民营经济促进法》第二十八条规定：“支持民营经济组织参与国家科技攻关项目，支持有能力的民营经济组织牵头承担国家重大技术攻关任务，向民营经济组织开放国家重大科研基础设施，支持公共研究开发平台、共性技术平台开放共享，为民营经济组织技术创新平等提供服务，鼓励各类企业和高等学校、科研院所、职业学校与民营经济组织创新合作机制，开展技术交流和成果转移转化，推动产学研深度融合。”</w:t>
      </w:r>
    </w:p>
    <w:p w14:paraId="3BA8082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本题为选非题，故正确答案为C。</w:t>
      </w:r>
    </w:p>
    <w:p w14:paraId="5B8DF47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B48728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23.B</w:t>
      </w:r>
    </w:p>
    <w:p w14:paraId="79B0E15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根据《中华人民共和国反洗钱法》第六十三条规定：“在境内设立的下列机构，履行本法规定的金融机构反洗钱义务：（一）银行业、证券基金期货业、保险业、信托业金融机构；（二）非银行支付机构；（三）国务院反洗钱行政主管部门确定并公布的其他从事金融业务的机构。”因此，在我国境内设立的非银行支付机构，确需履行该法规定的金融机构反洗钱义务。</w:t>
      </w:r>
    </w:p>
    <w:p w14:paraId="3340EB2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根据《中华人民共和国反洗钱法》第三十五条第一款规定：“金融机构应当按照规定执行大额交易报告制度，客户单笔交易或者在一定期限内的累计交易超过规定金额的，应当及时向反洗钱监测分析机构报告。”第四十二条：“特定非金融机构在从事规定的特定业务时，参照本章关于金融机构履行反洗钱义务的相关规定，根据行业特点、经营规模、洗钱风险状况履行反洗钱义务。”第六十四条第三项规定：“在境内设立的下列机构，履行本法规定的特定非金融机构反洗钱义务：（三）从事规定金额以上贵金属、宝石现货交易的交易商；”我国境内宝石现货交易属于特定非金融机构从事的特定业务，其所从事的活动应参照金融机构履行反洗钱义务的相关规定。因此，境内宝石现货交易只有在执行大额交易时，才需要履行及时报告义务。</w:t>
      </w:r>
    </w:p>
    <w:p w14:paraId="07F9AE7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根据《中华人民共和国反洗钱法》第三十四条第三款规定：“客户身份资料在业务关系结束后、客户交易信息在交易结束后，应当至少保存十年。”因此，在业务关系结束后，金融机构应将客户身份资料至少保存十年。</w:t>
      </w:r>
    </w:p>
    <w:p w14:paraId="7423203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根据《中华人民共和国反洗钱法》第十八条第一款规定：“出入境人员携带的现金、无记名支付凭证等超过规定金额的，应当按照规定向海关申报。海关发现个人出入境携带的现金、无记名支付凭证等超过规定金额的，应当及时向反洗钱行政主管部门通报。”因此，出入境人员携带的现金超过规定金额的，应当按照规定向海关申报。</w:t>
      </w:r>
    </w:p>
    <w:p w14:paraId="40AC528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9CDEE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本题为选非题，故正确答案为B。</w:t>
      </w:r>
    </w:p>
    <w:p w14:paraId="5AA07B1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034E7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24.A</w:t>
      </w:r>
    </w:p>
    <w:p w14:paraId="7F84048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根据《中华人民共和国刑事诉讼法》第六十二条第一款规定：“凡是知道案件情况的人，都有作证的义务。”第一百九十三条规定：“经人民法院通知，证人没有正当理由不出庭作证的，人民法院可以强制其到庭，但是被告人的配偶、父母、子女除外。证人没有正当理由拒绝出庭或者出庭后拒绝作证的，予以训诫，情节严重的，经院长批准，处以十日以下的拘留。被处罚人对拘留决定不服的，可以向上一级人民法院申请复议。复议期间不停止执行。”题中，若乙为甲盗窃案的证人，由于甲乙系夫妻关系，乙有权拒绝出庭作证。</w:t>
      </w:r>
    </w:p>
    <w:p w14:paraId="1C42B7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根据《中华人民共和国刑法》第三百一十条第一款规定：“明知是犯罪的人而为其提供隐藏处所、财物，帮助其逃匿或者作假证明包庇的，处三年以下有期徒刑、拘役或者管制；情节严重的，处三年以上十年以下有期徒刑。”题中，乙帮助甲逃匿，构成窝藏、包庇罪。</w:t>
      </w:r>
    </w:p>
    <w:p w14:paraId="02604ED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根据《中华人民共和国刑法》第六十七条第一款规定：“犯罪以后自动投案，如实供述自己的罪行的，是自首。对于自首的犯罪分子，可以从轻或者减轻处罚。其中，犯罪较轻的，可以免除处罚。”《最高人民法院关于处理自首和立功具体应用法律若干问题的解释》第一条规定：“······并非出于犯罪嫌疑人主动，而是经亲友规劝、陪同投案的；公安机关通知犯罪嫌疑人的亲友，或者亲友主动报案后，将犯罪嫌疑人送去投案的，也应当视为自动投案······”题中，乙陪同甲至公安机关投案，甲构成自首。</w:t>
      </w:r>
    </w:p>
    <w:p w14:paraId="632D5DF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根据《中华人民共和国刑事诉讼法》第二百二十七条第一款规定：“被告人、自诉人和他们的法定代理人，不服地方各级人民法院第一审的判决、裁定，有权用书状或者口头向上一级人民法院上诉。被告人的辩护人和近亲属，经被告人同意，可以提出上诉。”题中，乙作为甲的近亲属，经甲同意后才能提出上诉。</w:t>
      </w:r>
    </w:p>
    <w:p w14:paraId="7A3448E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037B04B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FC1594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25.B</w:t>
      </w:r>
    </w:p>
    <w:p w14:paraId="33BC09B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根据《中华人民共和国增值税法》第三条第一款规定：“在中华人民共和国境内（以下简称境内）销售货物、服务、无形资产、不动产（以下称应税交易），以及进口货物的单位和个人（包括个体工商户），为增值税的纳税人，应当依照本法规定缴纳增值税。”选项中，我国境内的半导体公司销售半导体产品，属于增值税征税范围，应征收增值税，因此，符合我国税收制度。</w:t>
      </w:r>
    </w:p>
    <w:p w14:paraId="53063DF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4389E5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根据《中华人民共和国资源税法》第一条规定：“在中华人民共和国领域和中华人民共和国管辖的其他海域开发应税资源的单位和个人，为资源税的纳税人，应当依照本法规定缴纳资源税。应税资源的具体范围，由本法所附《资源税税目税率表》（以下称《税目税率表》）确定。”《资源税税目税率表》载明的应税资源的具体范围包括能源矿产、金属矿产、非金属矿产、水气矿产、盐。选项中，未做废弃物无害化处理的养殖场不属于开发应税资源的单位，不应对其征收资源税，因此，不符合我国税收制度。</w:t>
      </w:r>
    </w:p>
    <w:p w14:paraId="508F3A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根据《中华人民共和国消费税暂行条例》第一条规定：“在中华人民共和国境内生产、委托加工和进口本条例规定的消费品的单位和个人，以及国务院确定的销售本条例规定的消费品的其他单位和个人，为消费税的纳税人，应当依照本条例缴纳消费税。”第二条第一款规定：“消费税的税目、税率，依照本条例所附的《消费税税目税率表》执行。”《消费税税目税率表》载明税目“三、化妆品”的税率为“30%”。选项中，某进口高档化妆品公司进口本条例规定的消费品化妆品，属于消费税的纳税人，应对其征收消费税，因此，符合我国税收制度。</w:t>
      </w:r>
    </w:p>
    <w:p w14:paraId="090A001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根据《中华人民共和国个人所得税法》第一条规定：“在中国境内有住所，或者无住所而一个纳税年度内在中国境内居住累计满一百八十三天的个人，为居民个人。居民个人从中国境内和境外取得的所得，依照本法规定缴纳个人所得税。在中国境内无住所又不居住，或者无住所而一个纳税年度内在中国境内居住累计不满一百八十三天的个人，为非居民个人。非居民个人从中国境内取得的所得，依照本法规定缴纳个人所得税。”选项中，该外籍居民在我国境内的外资企业工作多年，可认定其在中国境内居住累计满一百八十三天，符合“居民个人”的认定标准，应缴纳个人所得税，因此，符合我国税收制度。</w:t>
      </w:r>
    </w:p>
    <w:p w14:paraId="1973DD1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本题为选非题，故正确答案为B。</w:t>
      </w:r>
    </w:p>
    <w:p w14:paraId="37A8D7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1567D1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26.A</w:t>
      </w:r>
    </w:p>
    <w:p w14:paraId="382D13E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毛泽东的《贺新郎·读史》写于1964年春，是一首咏史体裁的词，全词通过宏观视角梳理人类历史进程，并明确提出了对历史问题精到的思索和理解，歌颂了历史的真正创造者——劳动人民，表达了作者对人民力量的崇敬与共情以及对社会发展规律的深刻洞察与革命情怀。</w:t>
      </w:r>
    </w:p>
    <w:p w14:paraId="7D132C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五帝三皇神圣事”的意思是传说中国上古三皇五帝，都是最高尚最有才能的神圣人物。其中“五帝三皇”指的是中国远古传说时代夏朝建立之前的部落首领。成汤是商朝的建立者，大约公元前16世纪灭夏建商。因此，商朝的历史晚于“五帝三皇”时代，成汤创立商朝不属于“五帝三皇神圣事”。</w:t>
      </w:r>
    </w:p>
    <w:p w14:paraId="61A2E4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只几个石头磨过”的意思是人类进步到最早的石器时代，这是人类历史的“小儿时节”。考古研究表明，人类早在石器时代就已学会使用火，最早的人类用火证据可追溯至100万年前，中国境内的西侯度遗址（山西）被认为是“人类文明的第一把圣火”所在地，距今约180万年。故石器时代与人类掌握用火技术在时间上高度吻合。</w:t>
      </w:r>
    </w:p>
    <w:p w14:paraId="4A8A3DA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铜铁炉中翻火焰”的意思是在青铜器时代和铁器时代，青铜器和铁器都要用炉火来冶炼和翻铸。利簋是西周早期青铜器，1976年出土于陕西临潼，现藏于中国国家博物馆。故利簋作为西周时期的青铜器，正是“铜铁炉中翻火焰”时代的典型器物。</w:t>
      </w:r>
    </w:p>
    <w:p w14:paraId="5F7FD56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更陈王奋起挥黄钺”中“陈王”指陈胜，是秦末农民起义领袖，曾自立为“张楚王”；“挥黄钺”指挥动饰以黄金的大斧。陈胜吴广起义又称“大泽乡起义”，是秦末农民战争的一部分，这次起义沉重打击了秦朝，揭开了秦末农民起义的序幕，是中国历史上第一次大规模的农民起义。</w:t>
      </w:r>
    </w:p>
    <w:p w14:paraId="5288371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本题为选非题，故正确答案为A。</w:t>
      </w:r>
    </w:p>
    <w:p w14:paraId="3986FFF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FA1A5D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27.C</w:t>
      </w:r>
    </w:p>
    <w:p w14:paraId="47DFA9A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2025年3月，中共中央办公厅、国务院办公厅印发《逐步把永久基本农田建成高标准农田实施方案》（以下简称《方案》）。</w:t>
      </w:r>
    </w:p>
    <w:p w14:paraId="7EB95B3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D两项错误，《方案》在“二、建设安排”部分指出：“（四）建设分区。依据区域资源禀赋、耕作制度和行政区划等，将全国高标准农田建设分为7个区域······黄淮海区包括北京、天津、河北、山东、河南5省（直辖市），重点着力提高灌溉保证率，完善现代化耕作条件······东南区包括浙江、福建、广东、海南4省，重点在尊重农民意愿前提下逐步改善田块细碎化问题，增强农田防御暴雨能力。西南区包括广西、重庆、四川、贵州、云南5省（自治区、直辖市），重点加强水平梯田改造建设，完善田间道路，补齐工程性缺水短板。西北区包括山西、陕西、甘肃、宁夏、新疆（含新疆生产建设兵团）5省（自治区），以及内蒙古中西部8盟（市），重点加强田块整治，提高农业用水效率，破解‘卡脖子’旱问题······”故A项“西北区”表述错误，应为“西南区”；D项“黄淮海区”表述错误，应为“东南区”。</w:t>
      </w:r>
    </w:p>
    <w:p w14:paraId="485B754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方案》在“二、建设安排”部分指出：“（三）建设布局。严格限制在生态脆弱区、沿海内陆滩涂等区域，禁止在25度以上坡耕地、严格管控类耕地、生态保护红线（红线内集中连片梯田或与保护对象共生的连片耕地除外）、退耕还林还草还湖还牧区域等开展高标准农田建设。”故25度以上坡耕地是禁止建设区域，沿海内陆滩涂是限制建设区域。</w:t>
      </w:r>
    </w:p>
    <w:p w14:paraId="5859EA8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方案》在“二、建设安排”部分指出：“（一）建设标准。以‘一平’（田块平整）、‘两通’（通水通路）、‘三提升’（提升地力、产量、效益）为基本标准，合理确定不同区域、不同类型高标准农田建设标准和投入标准。”</w:t>
      </w:r>
    </w:p>
    <w:p w14:paraId="69B781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5DBC86F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46E217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28.C</w:t>
      </w:r>
    </w:p>
    <w:p w14:paraId="0BA847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肥胖是2型糖尿病的核心危险因素之一。当人体内脂肪（尤其是内脏脂肪）过量堆积时，会引发胰岛素抵抗——脂肪细胞会分泌多种物质干扰胰岛素的作用，导致人体需要分泌更多胰岛素才能控制血糖，长期超负荷会损伤胰岛细胞功能，最终增加2型糖尿病的发病风险。</w:t>
      </w:r>
    </w:p>
    <w:p w14:paraId="59C4F8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内脏脂肪并非单纯的“储能组织”，还具有内分泌功能。肥胖者内脏脂肪组织会大量分泌炎症因子（如、IL-6等），这些炎症因子会损伤血管内皮细胞，促进血小板聚集、脂质沉积和动脉粥样硬化斑块形成，进而增加冠心病、脑梗死等心血管疾病的发生风险。</w:t>
      </w:r>
    </w:p>
    <w:p w14:paraId="1025262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肥胖者的血尿酸水平通常高于正常人，而非“远低于”。一方面，肥胖者胰岛素抵抗会影响肾脏对尿酸的排泄功能，导致尿酸在体内蓄积；另一方面，脂肪组织代谢过程中会产生更多嘌呤，嘌呤分解的终产物即为尿酸，双重作用下肥胖者高尿酸血症的发病率显著升高。此外，排尿次数多与血尿酸水平无直接关联（排尿次数可能受饮水、代谢率等影响）。</w:t>
      </w:r>
    </w:p>
    <w:p w14:paraId="56BE50F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肥胖者颈部、胸部脂肪大量堆积时，会压迫气道，导致气道狭窄、通气阻力增加；同时，脂肪组织对呼吸肌的负担会降低呼吸调节功能，夜间睡眠时容易出现上气道塌陷，引发阻塞性睡眠呼吸暂停（表现为打鼾、呼吸暂停、白天嗜睡等）。</w:t>
      </w:r>
    </w:p>
    <w:p w14:paraId="1069F17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本题为选非题，故正确答案为C。</w:t>
      </w:r>
    </w:p>
    <w:p w14:paraId="24D241C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677E02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29.D</w:t>
      </w:r>
    </w:p>
    <w:p w14:paraId="22C581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橙色月亮”的形成核心与大气层散射作用相关。当大气层中水汽、尘埃、颗粒物质等杂质较多时（如日出日落、雾霾天、火山喷发后），月光穿过大气层的路径变长，波长较短的蓝、紫光被大量散射，而波长较长的橙、红光穿透能力更强，最终到达人眼，使月亮呈现橙色。</w:t>
      </w:r>
    </w:p>
    <w:p w14:paraId="1598E4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火烈鸟的羽毛颜色并非天生固定，而是后天通过食物累积形成。其主要食物（如虾、蟹、藻类）中富含类胡萝卜素（核心为虾青素），这类物质无法被火烈鸟自身合成，需通过消化吸收后沉积在羽毛组织中，随着累积量增加，羽毛逐渐从白色变为鲜艳的朱红色。这一机制是生物学中“食物色素累积影响生物体色”的典型案例。</w:t>
      </w:r>
    </w:p>
    <w:p w14:paraId="1E813E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蓝闪蝶翅膀的蓝色源于“结构色”（物理色），系因其翅膀表面覆盖着微小的鳞片，这些鳞片具有特殊的纳米级微结构（如多层薄膜、光栅结构），能够通过反射、折射、干涉等物理作用，选择性地增强蓝光的反射的同时削弱其他色光的传播，最终呈现出明亮的蓝色。</w:t>
      </w:r>
    </w:p>
    <w:p w14:paraId="4CE2AD2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蓝莓呈现靛蓝色并不是因为表面蜡质层中含有高浓度花青素。实际上，蓝莓的靛蓝色主要来源于表皮蜡质层的微型结构，这些结构通过散射光线产生结构色，而花青素主要存在于果肉或表皮细胞中，贡献的是紫色或红色色调，不会直接导致蓝莓呈现靛蓝色。</w:t>
      </w:r>
    </w:p>
    <w:p w14:paraId="4337FDC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本题为选非题，故正确答案为D。</w:t>
      </w:r>
    </w:p>
    <w:p w14:paraId="0A2412D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FD1CE3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30.A</w:t>
      </w:r>
    </w:p>
    <w:p w14:paraId="583FD77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长江流域“一江一口两湖七河”，即长江干流，长江口禁捕管理区，鄱阳湖、洞庭湖、大渡河、岷江、沱江、赤水河、嘉陵江、乌江、汉江等重要支流实行暂定为期10年的常年禁捕。其中“两湖”指鄱阳湖和洞庭湖，而非太湖。</w:t>
      </w:r>
    </w:p>
    <w:p w14:paraId="7B2106C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根据《中华人民共和国长江保护法》第四十二条第三款规定：“禁止在长江流域开放水域养殖、投放外来物种或者其他非本地物种种质资源。”这一规定的核心目的是防范外来物种入侵，避免其与本地水生生物争夺资源、破坏食物链，进而保护长江水生生物多样性。</w:t>
      </w:r>
    </w:p>
    <w:p w14:paraId="743745B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青、草、鲢、鳙四大家鱼具有典型的洄游习性，繁殖期需进入长江干流或大型支流的特定江段（水流湍急、水温适宜）产卵，受精卵随水流漂流发育，幼鱼再进入鄱阳湖、洞庭湖等附属湖泊觅食育肥，成熟后再返回长江干流繁殖。长江十年禁渔的核心目标之一，就是保护这一“江-湖洄游通道”的完整性，让鱼类完成自然繁殖周期。</w:t>
      </w:r>
    </w:p>
    <w:p w14:paraId="2EF7B04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根据《中华人民共和国刑法》第三百四十条规定：“违反保护水产资源法规，在禁渔区、禁渔期或者使用禁用的工具、方法捕捞水产品，情节严重的，处三年以下有期徒刑、拘役、管制或者罚金。”炸鱼、电鱼属于典型的“禁用捕捞方法”，不仅会直接杀伤鱼类（包括幼鱼、鱼卵），还会破坏水域生态环境（如电击导致水生植物死亡、水体缺氧），其社会危害性远超普通非法捕捞，达到“情节严重”标准即涉嫌刑事犯罪，表述符合法律规定与司法实践。</w:t>
      </w:r>
    </w:p>
    <w:p w14:paraId="61BD014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本题为选非题，故正确答案为A。</w:t>
      </w:r>
    </w:p>
    <w:p w14:paraId="7E6745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C2A351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31.B</w:t>
      </w:r>
    </w:p>
    <w:p w14:paraId="31297D3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正确，激光雷达本质是发射激光束探测目标的雷达系统，其向目标发射激光束后，通过接收反射的回波信号与发射信号对比，能测算出目标的位置、速度、距离等多种参数，这也是其在自动驾驶中用于精准环境感知的核心原理。</w:t>
      </w:r>
    </w:p>
    <w:p w14:paraId="4BFA25C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毫米波雷达是工作在毫米波波段（波长为1～10mm）探测的雷达，通过分析反射回来的电磁波来探测物体的距离、速度和角度。电磁波在空气中衰减很慢，能够实现百米以上的有效探测。‌超声波雷达是一种利用超声波（频率高于20kHz的声波）进行探测的传感器，主要用于短距离环境感知‌，常见于汽车泊车辅助、工业检测等领域。</w:t>
      </w:r>
    </w:p>
    <w:p w14:paraId="5E8B139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强化学习是一种机器学习方法，它允许智能体能够在与环境的交互中通过试错来学习最优策略。它能应用在自动驾驶的路径规划、紧急情况制动避让等决策环节，助力车辆实现自主学习和智能决策，提升应对复杂交通场景的能力。</w:t>
      </w:r>
    </w:p>
    <w:p w14:paraId="508390B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陀螺仪可测量车辆的角速度，以此判断车辆转向角度、姿态变化等；加速度计能测量车辆三轴方向的加速度，可推算车速变化等运动信息。二者常整合为惯性测量单元，为自动驾驶的车道保持、自适应巡航等功能提供车辆姿态和运动信息支撑。</w:t>
      </w:r>
    </w:p>
    <w:p w14:paraId="0CA321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本题为选非题，故正确答案为B。</w:t>
      </w:r>
    </w:p>
    <w:p w14:paraId="719C0F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9F9BBA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32.D</w:t>
      </w:r>
    </w:p>
    <w:p w14:paraId="79DD541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斗拱是中国传统木构建筑中特有的承重构件，能有效减少梁柱交接处的剪力。斗拱通过层层叠压的斗、拱、翘等部件，可以将梁架传递下来的竖向荷载分散。同时，斗拱的榫卯连接具有一定的弹性和转动空间，在荷载作用下可产生微小变形，吸收部分剪力能量，避免节点因剪力集中而开裂或损坏。飞檐是中国传统木构建筑中屋顶檐部向上翘起的特殊构造，主要具备排水、遮阳等功能。</w:t>
      </w:r>
    </w:p>
    <w:p w14:paraId="71E7B8A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台基是高出地面的建筑物底座，一大功能是防潮隔湿：高于室外地坪的基身，其主要部分是用多层夯土或夯土层与碎砖瓦石块层交互重叠、夯筑而成，这种做法可以有效地阻止地下水分的上升。防火功能主要通过其他建筑构件，如防火墙等实现。</w:t>
      </w:r>
    </w:p>
    <w:p w14:paraId="6EDF926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错误，藻井是天花向上凹进为穹窿状的部分，在历史演进中逐渐从实用性建筑构件转变为装饰性建筑构件，核心为装饰功能。且藻井的使用有着严格的等级规制，是传统礼制文化在建筑中的体现。窗户是建筑中最基本的通风和采光构件。</w:t>
      </w:r>
    </w:p>
    <w:p w14:paraId="61AE658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D项正确，榫卯是在两个木构件上所采用的一种凹凸结合的连接方式。榫卯结构允许节点处的微小位移和变形，能有效耗散地震能量、缓冲地震冲击，从而大幅提升木构建筑的整体抗震性能。</w:t>
      </w:r>
    </w:p>
    <w:p w14:paraId="15C752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6AAD4F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F70370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33.C</w:t>
      </w:r>
    </w:p>
    <w:p w14:paraId="204CA98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兰新铁路东起甘肃省兰州，跨红柳河进入新疆维吾尔自治区，在达坂城穿过天山至乌鲁木齐。兰新铁路东连陇海铁路，在兰州与包兰线交汇。陇海铁路是中国东西方向的主要铁路干线之一，起自江苏省北部的连云港，横贯江苏、安徽、河南、陕西、甘肃5省，至甘肃省省会兰州。此方案时间成本高，陇海线经过河南、陕西，兰新线穿越河西走廊、新疆戈壁，夏季高温，且长途运输车厢内极易积聚热量，不适合自然保鲜。故此方案不可行。</w:t>
      </w:r>
    </w:p>
    <w:p w14:paraId="62E2223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错误，黄河干流冬季平均气温低于，一般每年12月至次年3月为天然结冰期，船舶无法航行，且冬季黄河流域降水稀少、地表径流减少，进入枯水期后，下游河道水位显著下降，水位不足导致船舶搁浅风险极高。此方案耗时较长，且黄河水运无法直达乌鲁木齐，最终仍需衔接陆路，不能避开陆路交通拥堵。故此方案不可行。</w:t>
      </w:r>
    </w:p>
    <w:p w14:paraId="2A8E66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冷藏集装箱是指一种有良好隔热，且能维持一定低温要求，适用于各类易腐食品的运送、贮存的特殊集装箱。故不管春秋季沿线温度变化，都能保持货物所需的低温环境，避免变质。此方案的时间成本小于水运、经济成本小于公路运输，且可以保证货物不变质。故此方案可行。</w:t>
      </w:r>
    </w:p>
    <w:p w14:paraId="0A596F8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错误，连云港—霍尔果斯高速公路，简称“连霍高速”，是中国境内连接江苏省连云港市和新疆维吾尔自治区伊犁哈萨克自治州的高速公路，全长4244公里，横贯我国中部。在长途、大批量货物运输中，公路运输的单位成本通常远高于铁路和水运。其次，公路运输受路况、天气影响大，时效不稳定，且货车冷藏需要持续供电，长途运输中若出现故障，货物容易变质，风险比铁路高。此方案的时间成本、经济成本都较高，且有货物腐坏变质等风险。故此方案不可行。</w:t>
      </w:r>
    </w:p>
    <w:p w14:paraId="70CB394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72544AF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8D2FAD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34.A</w:t>
      </w:r>
    </w:p>
    <w:p w14:paraId="4A2961C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w:t>
      </w:r>
      <m:oMath>
        <m:func>
          <m:funcPr>
            <m:ctrlPr>
              <w:rPr>
                <w:rFonts w:ascii="DejaVu Math TeX Gyre" w:hAnsi="DejaVu Math TeX Gyre" w:cstheme="minorEastAsia"/>
                <w:iCs w:val="0"/>
                <w:caps w:val="0"/>
                <w:color w:val="000000"/>
                <w:spacing w:val="0"/>
                <w:kern w:val="0"/>
                <w:sz w:val="21"/>
                <w:szCs w:val="21"/>
                <w:shd w:val="clear" w:fill="FFFFFF"/>
                <w:lang w:val="en-US" w:bidi="ar"/>
              </w:rPr>
            </m:ctrlPr>
          </m:funcPr>
          <m:fName>
            <m:r>
              <m:rPr>
                <m:sty m:val="p"/>
              </m:rPr>
              <w:rPr>
                <w:rFonts w:ascii="DejaVu Math TeX Gyre" w:hAnsi="DejaVu Math TeX Gyre" w:cstheme="minorEastAsia"/>
                <w:caps w:val="0"/>
                <w:color w:val="000000"/>
                <w:spacing w:val="0"/>
                <w:kern w:val="0"/>
                <w:sz w:val="21"/>
                <w:szCs w:val="21"/>
                <w:shd w:val="clear" w:fill="FFFFFF"/>
                <w:lang w:val="en-US" w:bidi="ar"/>
              </w:rPr>
              <m:t>sin</m:t>
            </m:r>
            <m:ctrlPr>
              <w:rPr>
                <w:rFonts w:ascii="DejaVu Math TeX Gyre" w:hAnsi="DejaVu Math TeX Gyre" w:cstheme="minorEastAsia"/>
                <w:i/>
                <w:iCs w:val="0"/>
                <w:caps w:val="0"/>
                <w:color w:val="000000"/>
                <w:spacing w:val="0"/>
                <w:kern w:val="0"/>
                <w:sz w:val="21"/>
                <w:szCs w:val="21"/>
                <w:shd w:val="clear" w:fill="FFFFFF"/>
                <w:lang w:val="en-US" w:bidi="ar"/>
              </w:rPr>
            </m:ctrlPr>
          </m:fName>
          <m:e>
            <m:sSup>
              <m:sSupPr>
                <m:ctrlPr>
                  <w:rPr>
                    <w:rFonts w:ascii="DejaVu Math TeX Gyre" w:hAnsi="DejaVu Math TeX Gyre" w:cstheme="minorEastAsia"/>
                    <w:i/>
                    <w:iCs w:val="0"/>
                    <w:caps w:val="0"/>
                    <w:color w:val="000000"/>
                    <w:spacing w:val="0"/>
                    <w:kern w:val="0"/>
                    <w:sz w:val="21"/>
                    <w:szCs w:val="21"/>
                    <w:shd w:val="clear" w:fill="FFFFFF"/>
                    <w:lang w:val="en-US"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45</m:t>
                </m:r>
                <m:ctrlPr>
                  <w:rPr>
                    <w:rFonts w:ascii="DejaVu Math TeX Gyre" w:hAnsi="DejaVu Math TeX Gyre" w:cstheme="minorEastAsia"/>
                    <w:i/>
                    <w:iCs w:val="0"/>
                    <w:caps w:val="0"/>
                    <w:color w:val="000000"/>
                    <w:spacing w:val="0"/>
                    <w:kern w:val="0"/>
                    <w:sz w:val="21"/>
                    <w:szCs w:val="21"/>
                    <w:shd w:val="clear" w:fill="FFFFFF"/>
                    <w:lang w:val="en-US" w:bidi="ar"/>
                  </w:rPr>
                </m:ctrlPr>
              </m:e>
              <m:sup>
                <m:r>
                  <m:rPr/>
                  <w:rPr>
                    <w:rFonts w:ascii="DejaVu Math TeX Gyre" w:hAnsi="DejaVu Math TeX Gyre" w:cstheme="minorEastAsia"/>
                    <w:caps w:val="0"/>
                    <w:color w:val="000000"/>
                    <w:spacing w:val="0"/>
                    <w:kern w:val="0"/>
                    <w:sz w:val="21"/>
                    <w:szCs w:val="21"/>
                    <w:shd w:val="clear" w:fill="FFFFFF"/>
                    <w:lang w:val="en-US" w:bidi="ar"/>
                  </w:rPr>
                  <m:t>°</m:t>
                </m:r>
                <m:ctrlPr>
                  <w:rPr>
                    <w:rFonts w:ascii="DejaVu Math TeX Gyre" w:hAnsi="DejaVu Math TeX Gyre" w:cstheme="minorEastAsia"/>
                    <w:i/>
                    <w:iCs w:val="0"/>
                    <w:caps w:val="0"/>
                    <w:color w:val="000000"/>
                    <w:spacing w:val="0"/>
                    <w:kern w:val="0"/>
                    <w:sz w:val="21"/>
                    <w:szCs w:val="21"/>
                    <w:shd w:val="clear" w:fill="FFFFFF"/>
                    <w:lang w:val="en-US" w:bidi="ar"/>
                  </w:rPr>
                </m:ctrlPr>
              </m:sup>
            </m:sSup>
            <m:ctrlPr>
              <w:rPr>
                <w:rFonts w:ascii="DejaVu Math TeX Gyre" w:hAnsi="DejaVu Math TeX Gyre" w:cstheme="minorEastAsia"/>
                <w:i/>
                <w:iCs w:val="0"/>
                <w:caps w:val="0"/>
                <w:color w:val="000000"/>
                <w:spacing w:val="0"/>
                <w:kern w:val="0"/>
                <w:sz w:val="21"/>
                <w:szCs w:val="21"/>
                <w:shd w:val="clear" w:fill="FFFFFF"/>
                <w:lang w:val="en-US" w:bidi="ar"/>
              </w:rPr>
            </m:ctrlPr>
          </m:e>
        </m:func>
        <m: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0.707</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，与数字1的数值差异过大，不适合直接替代。若需用三角函数替代，可选择</w:t>
      </w:r>
      <m:oMath>
        <m:func>
          <m:funcPr>
            <m:ctrlPr>
              <w:rPr>
                <w:rFonts w:ascii="DejaVu Math TeX Gyre" w:hAnsi="DejaVu Math TeX Gyre" w:cstheme="minorEastAsia"/>
                <w:iCs w:val="0"/>
                <w:caps w:val="0"/>
                <w:color w:val="000000"/>
                <w:spacing w:val="0"/>
                <w:kern w:val="0"/>
                <w:sz w:val="21"/>
                <w:szCs w:val="21"/>
                <w:shd w:val="clear" w:fill="FFFFFF"/>
                <w:lang w:val="en-US" w:bidi="ar"/>
              </w:rPr>
            </m:ctrlPr>
          </m:funcPr>
          <m:fName>
            <m:r>
              <m:rPr>
                <m:sty m:val="p"/>
              </m:rPr>
              <w:rPr>
                <w:rFonts w:ascii="DejaVu Math TeX Gyre" w:hAnsi="DejaVu Math TeX Gyre" w:cstheme="minorEastAsia"/>
                <w:caps w:val="0"/>
                <w:color w:val="000000"/>
                <w:spacing w:val="0"/>
                <w:kern w:val="0"/>
                <w:sz w:val="21"/>
                <w:szCs w:val="21"/>
                <w:shd w:val="clear" w:fill="FFFFFF"/>
                <w:lang w:val="en-US" w:bidi="ar"/>
              </w:rPr>
              <m:t>sin</m:t>
            </m:r>
            <m:ctrlPr>
              <w:rPr>
                <w:rFonts w:ascii="DejaVu Math TeX Gyre" w:hAnsi="DejaVu Math TeX Gyre" w:cstheme="minorEastAsia"/>
                <w:i/>
                <w:iCs w:val="0"/>
                <w:caps w:val="0"/>
                <w:color w:val="000000"/>
                <w:spacing w:val="0"/>
                <w:kern w:val="0"/>
                <w:sz w:val="21"/>
                <w:szCs w:val="21"/>
                <w:shd w:val="clear" w:fill="FFFFFF"/>
                <w:lang w:val="en-US" w:bidi="ar"/>
              </w:rPr>
            </m:ctrlPr>
          </m:fName>
          <m:e>
            <m:sSup>
              <m:sSupPr>
                <m:ctrlPr>
                  <w:rPr>
                    <w:rFonts w:ascii="DejaVu Math TeX Gyre" w:hAnsi="DejaVu Math TeX Gyre" w:cstheme="minorEastAsia"/>
                    <w:i/>
                    <w:iCs w:val="0"/>
                    <w:caps w:val="0"/>
                    <w:color w:val="000000"/>
                    <w:spacing w:val="0"/>
                    <w:kern w:val="0"/>
                    <w:sz w:val="21"/>
                    <w:szCs w:val="21"/>
                    <w:shd w:val="clear" w:fill="FFFFFF"/>
                    <w:lang w:val="en-US"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90</m:t>
                </m:r>
                <m:ctrlPr>
                  <w:rPr>
                    <w:rFonts w:ascii="DejaVu Math TeX Gyre" w:hAnsi="DejaVu Math TeX Gyre" w:cstheme="minorEastAsia"/>
                    <w:i/>
                    <w:iCs w:val="0"/>
                    <w:caps w:val="0"/>
                    <w:color w:val="000000"/>
                    <w:spacing w:val="0"/>
                    <w:kern w:val="0"/>
                    <w:sz w:val="21"/>
                    <w:szCs w:val="21"/>
                    <w:shd w:val="clear" w:fill="FFFFFF"/>
                    <w:lang w:val="en-US" w:bidi="ar"/>
                  </w:rPr>
                </m:ctrlPr>
              </m:e>
              <m:sup>
                <m:r>
                  <m:rPr/>
                  <w:rPr>
                    <w:rFonts w:ascii="DejaVu Math TeX Gyre" w:hAnsi="DejaVu Math TeX Gyre" w:cstheme="minorEastAsia"/>
                    <w:caps w:val="0"/>
                    <w:color w:val="000000"/>
                    <w:spacing w:val="0"/>
                    <w:kern w:val="0"/>
                    <w:sz w:val="21"/>
                    <w:szCs w:val="21"/>
                    <w:shd w:val="clear" w:fill="FFFFFF"/>
                    <w:lang w:val="en-US" w:bidi="ar"/>
                  </w:rPr>
                  <m:t>°</m:t>
                </m:r>
                <m:ctrlPr>
                  <w:rPr>
                    <w:rFonts w:ascii="DejaVu Math TeX Gyre" w:hAnsi="DejaVu Math TeX Gyre" w:cstheme="minorEastAsia"/>
                    <w:i/>
                    <w:iCs w:val="0"/>
                    <w:caps w:val="0"/>
                    <w:color w:val="000000"/>
                    <w:spacing w:val="0"/>
                    <w:kern w:val="0"/>
                    <w:sz w:val="21"/>
                    <w:szCs w:val="21"/>
                    <w:shd w:val="clear" w:fill="FFFFFF"/>
                    <w:lang w:val="en-US" w:bidi="ar"/>
                  </w:rPr>
                </m:ctrlPr>
              </m:sup>
            </m:sSup>
            <m:ctrlPr>
              <w:rPr>
                <w:rFonts w:ascii="DejaVu Math TeX Gyre" w:hAnsi="DejaVu Math TeX Gyre" w:cstheme="minorEastAsia"/>
                <w:i/>
                <w:iCs w:val="0"/>
                <w:caps w:val="0"/>
                <w:color w:val="000000"/>
                <w:spacing w:val="0"/>
                <w:kern w:val="0"/>
                <w:sz w:val="21"/>
                <w:szCs w:val="21"/>
                <w:shd w:val="clear" w:fill="FFFFFF"/>
                <w:lang w:val="en-US" w:bidi="ar"/>
              </w:rPr>
            </m:ctrlPr>
          </m:e>
        </m:func>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（值为1）。‌</w:t>
      </w:r>
    </w:p>
    <w:p w14:paraId="4A60C9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B项正确，3的阶乘“</w:t>
      </w:r>
      <m:oMath>
        <m:r>
          <m:rPr/>
          <w:rPr>
            <w:rFonts w:hint="default" w:ascii="DejaVu Math TeX Gyre" w:hAnsi="DejaVu Math TeX Gyre" w:cstheme="minorEastAsia"/>
            <w:caps w:val="0"/>
            <w:color w:val="000000"/>
            <w:spacing w:val="0"/>
            <w:kern w:val="0"/>
            <w:sz w:val="21"/>
            <w:szCs w:val="21"/>
            <w:shd w:val="clear" w:fill="FFFFFF"/>
            <w:lang w:val="en-US" w:eastAsia="zh-CN" w:bidi="ar"/>
          </w:rPr>
          <m:t>3</m:t>
        </m:r>
        <m:r>
          <m:rPr/>
          <w:rPr>
            <w:rFonts w:hint="default" w:ascii="DejaVu Math TeX Gyre" w:hAnsi="DejaVu Math TeX Gyre" w:cs="DejaVu Math TeX Gyre"/>
            <w:caps w:val="0"/>
            <w:color w:val="000000"/>
            <w:spacing w:val="0"/>
            <w:kern w:val="0"/>
            <w:sz w:val="21"/>
            <w:szCs w:val="21"/>
            <w:shd w:val="clear" w:fill="FFFFFF"/>
            <w:lang w:val="en-US" w:eastAsia="zh-CN" w:bidi="ar"/>
          </w:rPr>
          <m:t>!</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”等于3×2×1=6，与数字6完全匹配，可替代‌。</w:t>
      </w:r>
    </w:p>
    <w:p w14:paraId="6BDA41B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21413D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C项正确，重力加速度</w:t>
      </w:r>
      <m:oMath>
        <m:r>
          <m:rPr/>
          <w:rPr>
            <w:rFonts w:hint="eastAsia" w:ascii="DejaVu Math TeX Gyre" w:hAnsi="DejaVu Math TeX Gyre" w:cstheme="minorEastAsia"/>
            <w:caps w:val="0"/>
            <w:color w:val="000000"/>
            <w:spacing w:val="0"/>
            <w:kern w:val="0"/>
            <w:sz w:val="21"/>
            <w:szCs w:val="21"/>
            <w:shd w:val="clear" w:fill="FFFFFF"/>
            <w:lang w:val="en-US" w:eastAsia="zh-CN" w:bidi="ar"/>
          </w:rPr>
          <m:t>g</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9.8 m/</m:t>
        </m:r>
        <m:sSup>
          <m:sSup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sSupPr>
          <m:e>
            <m:r>
              <m:rPr/>
              <w:rPr>
                <w:rFonts w:hint="eastAsia" w:ascii="DejaVu Math TeX Gyre" w:hAnsi="DejaVu Math TeX Gyre" w:cstheme="minorEastAsia"/>
                <w:caps w:val="0"/>
                <w:color w:val="000000"/>
                <w:spacing w:val="0"/>
                <w:kern w:val="0"/>
                <w:sz w:val="21"/>
                <w:szCs w:val="21"/>
                <w:shd w:val="clear" w:fill="FFFFFF"/>
                <w:lang w:val="en-US" w:eastAsia="zh-CN" w:bidi="ar"/>
              </w:rPr>
              <m:t>s</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，四舍五入后与10接近，可替代。</w:t>
      </w:r>
    </w:p>
    <w:p w14:paraId="2040F2F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D项正确，二进制数“</w:t>
      </w:r>
      <m:oMath>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default" w:ascii="DejaVu Math TeX Gyre" w:hAnsi="DejaVu Math TeX Gyre" w:cstheme="minorEastAsia"/>
                <w:caps w:val="0"/>
                <w:color w:val="000000"/>
                <w:spacing w:val="0"/>
                <w:kern w:val="0"/>
                <w:sz w:val="21"/>
                <w:szCs w:val="21"/>
                <w:shd w:val="clear" w:fill="FFFFFF"/>
                <w:lang w:val="en-US" w:eastAsia="zh-CN" w:bidi="ar"/>
              </w:rPr>
              <m:t>(1100)</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Sub>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”转换为十进制为1×8+1×4+0×2+0×1=12，数值对应准确，可替代。</w:t>
      </w:r>
    </w:p>
    <w:p w14:paraId="1CD8FB3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本题为选非题，故正确答案为A。</w:t>
      </w:r>
    </w:p>
    <w:p w14:paraId="168864B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910AD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35.A</w:t>
      </w:r>
    </w:p>
    <w:p w14:paraId="2A2D658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A项错误，“</w:t>
      </w:r>
      <m:oMath>
        <m:r>
          <m:rPr/>
          <w:rPr>
            <w:rFonts w:ascii="DejaVu Math TeX Gyre" w:hAnsi="DejaVu Math TeX Gyre" w:cstheme="minorEastAsia"/>
            <w:caps w:val="0"/>
            <w:color w:val="000000"/>
            <w:spacing w:val="0"/>
            <w:kern w:val="0"/>
            <w:sz w:val="21"/>
            <w:szCs w:val="21"/>
            <w:shd w:val="clear" w:fill="FFFFFF"/>
            <w:lang w:val="en-US" w:bidi="ar"/>
          </w:rPr>
          <m:t>F=ma</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”是牛顿第二定律，是牛顿经典力学的核心方程，描述“物体加速度与所受合外力成正比，与质量成反比”，由牛顿在《自然哲学的数学原理》中提出，并非爱因斯坦的科学贡献，不适合用作印刷图案。</w:t>
      </w:r>
    </w:p>
    <w:p w14:paraId="64FBA68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正确，“光电效应”是爱因斯坦的重要科研成果之一。1905年，爱因斯坦提出光量子假说，成功解释了光电效应现象，即光照射金属表面时会逸出电子，他也因此获得1921年诺贝尔物理学奖。该理论与爱因斯坦直接相关，适合作为纪念图案。</w:t>
      </w:r>
    </w:p>
    <w:p w14:paraId="5E4B13A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C项正确，“</w:t>
      </w:r>
      <m:oMath>
        <m:r>
          <m:rPr/>
          <w:rPr>
            <w:rFonts w:ascii="DejaVu Math TeX Gyre" w:hAnsi="DejaVu Math TeX Gyre" w:cstheme="minorEastAsia"/>
            <w:caps w:val="0"/>
            <w:color w:val="000000"/>
            <w:spacing w:val="0"/>
            <w:kern w:val="0"/>
            <w:sz w:val="21"/>
            <w:szCs w:val="21"/>
            <w:shd w:val="clear" w:fill="FFFFFF"/>
            <w:lang w:val="en-US" w:bidi="ar"/>
          </w:rPr>
          <m:t>E=m</m:t>
        </m:r>
        <m:sSup>
          <m:sSupPr>
            <m:ctrlPr>
              <m:rPr/>
              <w:rPr>
                <w:rFonts w:ascii="DejaVu Math TeX Gyre" w:hAnsi="DejaVu Math TeX Gyre" w:cstheme="minorEastAsia"/>
                <w:i/>
                <w:iCs w:val="0"/>
                <w:caps w:val="0"/>
                <w:color w:val="000000"/>
                <w:spacing w:val="0"/>
                <w:kern w:val="0"/>
                <w:sz w:val="21"/>
                <w:szCs w:val="21"/>
                <w:shd w:val="clear" w:fill="FFFFFF"/>
                <w:lang w:val="en-US" w:bidi="ar"/>
              </w:rPr>
            </m:ctrlPr>
          </m:sSupPr>
          <m:e>
            <m:r>
              <m:rPr/>
              <w:rPr>
                <w:rFonts w:ascii="DejaVu Math TeX Gyre" w:hAnsi="DejaVu Math TeX Gyre" w:cstheme="minorEastAsia"/>
                <w:caps w:val="0"/>
                <w:color w:val="000000"/>
                <w:spacing w:val="0"/>
                <w:kern w:val="0"/>
                <w:sz w:val="21"/>
                <w:szCs w:val="21"/>
                <w:shd w:val="clear" w:fill="FFFFFF"/>
                <w:lang w:val="en-US" w:bidi="ar"/>
              </w:rPr>
              <m:t>c</m:t>
            </m:r>
            <m:ctrlPr>
              <m:rPr/>
              <w:rPr>
                <w:rFonts w:ascii="DejaVu Math TeX Gyre" w:hAnsi="DejaVu Math TeX Gyre" w:cstheme="minorEastAsia"/>
                <w:i/>
                <w:iCs w:val="0"/>
                <w:caps w:val="0"/>
                <w:color w:val="000000"/>
                <w:spacing w:val="0"/>
                <w:kern w:val="0"/>
                <w:sz w:val="21"/>
                <w:szCs w:val="21"/>
                <w:shd w:val="clear" w:fill="FFFFFF"/>
                <w:lang w:val="en-US" w:bidi="ar"/>
              </w:rPr>
            </m:ctrlPr>
          </m:e>
          <m:sup>
            <m:r>
              <m:rPr/>
              <w:rPr>
                <w:rFonts w:ascii="DejaVu Math TeX Gyre" w:hAnsi="DejaVu Math TeX Gyre" w:cstheme="minorEastAsia"/>
                <w:caps w:val="0"/>
                <w:color w:val="000000"/>
                <w:spacing w:val="0"/>
                <w:kern w:val="0"/>
                <w:sz w:val="21"/>
                <w:szCs w:val="21"/>
                <w:shd w:val="clear" w:fill="FFFFFF"/>
                <w:lang w:val="en-US" w:bidi="ar"/>
              </w:rPr>
              <m:t>2</m:t>
            </m:r>
            <m:ctrlPr>
              <m:rPr/>
              <w:rPr>
                <w:rFonts w:ascii="DejaVu Math TeX Gyre" w:hAnsi="DejaVu Math TeX Gyre" w:cstheme="minorEastAsia"/>
                <w:i/>
                <w:iCs w:val="0"/>
                <w:caps w:val="0"/>
                <w:color w:val="000000"/>
                <w:spacing w:val="0"/>
                <w:kern w:val="0"/>
                <w:sz w:val="21"/>
                <w:szCs w:val="21"/>
                <w:shd w:val="clear" w:fill="FFFFFF"/>
                <w:lang w:val="en-US" w:bidi="ar"/>
              </w:rPr>
            </m:ctrlPr>
          </m:sup>
        </m:sSup>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”是质能方程，是爱因斯坦狭义相对论的核心推论，揭示了质量与能量的等价关系，是现代物理学的标志性公式，也是爱因斯坦最广为人知的科学贡献之一。该理论与爱因斯坦直接相关，适合作为纪念图案。</w:t>
      </w:r>
    </w:p>
    <w:p w14:paraId="6212B1D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正确，“引力是时空弯曲的效应”是爱因斯坦广义相对论的核心观点（1915年提出）。爱因斯坦颠覆了传统万有引力理论，提出引力的本质是质量或能量导致时空弯曲，物体沿弯曲时空的测地线运动。该理论与爱因斯坦直接相关，适合作为纪念图案。</w:t>
      </w:r>
    </w:p>
    <w:p w14:paraId="3C04CF4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本题为选非题，故正确答案为A。</w:t>
      </w:r>
    </w:p>
    <w:p w14:paraId="2884277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4E3F02A">
      <w:pPr>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br w:type="page"/>
      </w:r>
    </w:p>
    <w:p w14:paraId="1439A1C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lang w:val="en-US" w:eastAsia="zh-CN" w:bidi="ar"/>
        </w:rPr>
        <w:t>三、言语理解与表达</w:t>
      </w:r>
    </w:p>
    <w:p w14:paraId="7CCC53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36.D</w:t>
      </w:r>
    </w:p>
    <w:p w14:paraId="6593841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横线处搭配“线索摸排”且根据“在技术的赋能下，检察机关在办理公益诉讼案件时如同拥有了顺风耳、千里眼”以及横线前“能有效避免”可知，横线处与“顺风耳”“千里眼”所代表的高效、精准形成反义并列，应体现技术赋能前线索摸排的艰难和低效之意，D项“大海捞针”指在大海里捞一根针，比喻极难找到，符合文意，当选。</w:t>
      </w:r>
    </w:p>
    <w:p w14:paraId="4535D3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刻舟求剑”比喻办事刻板拘泥，不知根据实际情况处理问题，文段并非强调方法刻板，而是强调线索寻找过程的艰难，与文意不符，排除；B项“管中窥豹”指所见不全面，仅能体现线索摸排的不全面，不及D项还能体现出该项工作的困难，排除；C项“缘木求鱼”指爬到树上去找鱼，比喻方向或方法不对，不可能达到目的，与文意不符，排除。</w:t>
      </w:r>
    </w:p>
    <w:p w14:paraId="2A9AD02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4740897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【文段出处】法治日报《技术赋能让公益诉讼提质增效》</w:t>
      </w:r>
    </w:p>
    <w:p w14:paraId="10A34E0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6757E5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37.B</w:t>
      </w:r>
    </w:p>
    <w:p w14:paraId="37BEEA8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横线处形容“小侦探”，且根据后文“精准捕捉大脑每一个微妙的波动”可知，横线处应体现脑电帽中的微小触头能够精准捕捉大脑中的细微信号之意。B项“明察秋毫”形容人很精明，对很小的事情也能察看得清清楚楚，符合文意，当选。A项“未卜先知”指没有占卜便能事先知道，强调“预见性”；C项“洞若观火”指观察事物如同看火一样清楚，形容对事情的本质和发展趋势看得非常透彻明了，强调“看透本质”；D项“随机应变”指跟着情况的变化，掌握时机，灵活应付，强调“灵活性”，三者均无法体现“精准捕捉大脑中的细微信号”之意，排除。</w:t>
      </w:r>
    </w:p>
    <w:p w14:paraId="2ECE010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112D9C5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【文段出处】今日头条《绕地飞行的太空实验——探秘中国国家太空实验室》</w:t>
      </w:r>
    </w:p>
    <w:p w14:paraId="33A69EA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0B411B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38.C</w:t>
      </w:r>
    </w:p>
    <w:p w14:paraId="683D462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横线前“2025年是巩固拓展脱贫攻坚成果同乡村振兴有效衔接5年过渡期的最后一年，越是这个时候，越要扛稳责任”及横线后“做好监测帮扶工作”可知，横线处所填词语意在表达在最后阶段要“扛稳”责任、“做好”工作，强调最后阶段应与初始阶段保持一致的工作态度。C项“慎终如始”指谨慎到最后，也像开始时一样，形容始终如一地谨慎从事，符合文意，当选。</w:t>
      </w:r>
    </w:p>
    <w:p w14:paraId="438C40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A项，“步步为营”指军队前进一步就设下一道营垒，形容行动谨慎，做事考虑周密，强调做事注重规划与落实，与文意不符，排除；</w:t>
      </w:r>
    </w:p>
    <w:p w14:paraId="1C7727C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B项，“行稳致远”指若想走得远，必须首先走得稳，强调兼顾当下的稳妥与长远的目标，而文段重在强调守住现有成果，并非强调长远发展，与文意不符，排除；</w:t>
      </w:r>
    </w:p>
    <w:p w14:paraId="1E0F25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D项，“绵绵用力”指连续不断地，长久坚持做某事，强调的是持续努力，与文意不符，排除。</w:t>
      </w:r>
    </w:p>
    <w:p w14:paraId="03CE10A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1891837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【文段出处】求是网《持续巩固拓展脱贫攻坚成果》</w:t>
      </w:r>
    </w:p>
    <w:p w14:paraId="115F9C2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8878C2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919028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39.D</w:t>
      </w:r>
    </w:p>
    <w:p w14:paraId="38D80AB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通用人工智能······可能会使人类盲目自信”可知，横线处所填成语应表达人类因盲目自信而导致的行为。A项“孤注一掷”比喻在危急时用尽所有力量作最后一次冒险，D项“铤而走险”指在无路可走的时候采取冒险行动，均符合文意，保留。B项“轻举妄动”指不经慎重考虑，轻率地采取行动，侧重草率行动，没有体现盲目自信，排除；C项“刚愎自用”指十分固执自信，不考虑别人的意见，侧重固执己见，多形容人的性格，无法与后文的“行为”构成对应，不符合文意，排除。</w:t>
      </w:r>
    </w:p>
    <w:p w14:paraId="241632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通用人工智能带来的进攻优势”以及“这会打破进攻与防御的平衡，引发新型安全困境，反而增加了战争爆发的风险”可知，横线处所填成语应体现采取“进攻”手段，可能挑起战争之意。D项“先发制人”指争取主动，先动手来制服对方，符合文意，当选。A项“避实击虚”指避开敌人的主力，找敌人的弱点进攻，侧重攻击对方弱点，未体现主动挑起战争之意，不符合文意，排除。</w:t>
      </w:r>
    </w:p>
    <w:p w14:paraId="4ABB39F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6728AAE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【文段出处】解放军报《AGI带来的战争思考》</w:t>
      </w:r>
    </w:p>
    <w:p w14:paraId="2525857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A280F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40.A</w:t>
      </w:r>
    </w:p>
    <w:p w14:paraId="08537BD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在层出不穷的技术供给面前，市场选择是审慎、挑剔的”可知，横线处所填词语应体现市场对新产品和新服务的响应并不是快速的。A项“滞后性”指某个过程或现象发生后，才对之前的状况作出反应或调整，符合文意，保留。B项“差异性”指不同对象之间有差别，C项“被动性”指受外力推动才行动，D项“模糊性”指不清晰，文段强调市场对新产品和新服务并非立即跟随，均与文意不符，排除。</w:t>
      </w:r>
    </w:p>
    <w:p w14:paraId="4B21CF8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代入验证，根据“应用前景不明朗、难以迅速形成现金流的企业，市场通常会选择放弃”可知，横线处成语应表达瞪羚企业、独角兽企业经受住了市场的考验和筛选，A项“大浪淘沙”比喻在激烈的斗争中经受考验、筛选，符合文意，当选。</w:t>
      </w:r>
    </w:p>
    <w:p w14:paraId="4A3FF7F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5716CA8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【文段出处】中国社会科学网《独角兽企业培育的三重逻辑》</w:t>
      </w:r>
    </w:p>
    <w:p w14:paraId="18647F7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60041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41.B</w:t>
      </w:r>
    </w:p>
    <w:p w14:paraId="3D5EBF4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可知，横线处和“消极懈怠”构成并列，且根据“往往会因为害怕承担责任或者担心打破现有秩序，一味地观望等待”可知，横线处应体现因过度求静而停滞不前之意，A项“安于现状”指对当前状况习惯而不愿改变，B项“固步自封”比喻守着老一套，不求进步，C项“裹足不前”比喻有所顾忌，不愿去做，均符合文意，保留。D项“自暴自弃”指自己瞧不起自己，甘于落后或堕落，侧重于自我放弃，与文意不符，排除。</w:t>
      </w:r>
    </w:p>
    <w:p w14:paraId="78CE04C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情况不明时过于求动会让很多事情变得杂乱无章”可知，横线处应体现过于求动会带来不利结果，达不到预期之意，B项“事与愿违”指事情的发展跟主观愿望相反，符合文意，当选。A项“分身乏术”形容非常繁忙，无法兼顾他事，文段并非表达事务的繁忙，而是强调处理事情做法不当而带来的消极结果，与文意不符，排除；C项“措手不及”形容事出意外或太突然，来不及应付处理，文段并非表达事出突然，而是强调情况不明时过于求动会让事情变糟，与文意不符，排除。</w:t>
      </w:r>
    </w:p>
    <w:p w14:paraId="71F07CB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27C0F39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【文段出处】解放军报《把握好动静之度》</w:t>
      </w:r>
    </w:p>
    <w:p w14:paraId="5BB92D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42.C</w:t>
      </w:r>
    </w:p>
    <w:p w14:paraId="742130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五彩滩是一处著名的雅丹地貌景观”“北岸则是······泥岩、砂岩及砂砾组成的奇石怪岩”可知，横线处要体现出五彩滩的“多彩”特点，C项“色彩斑斓”指颜色绚丽多彩，D项“绚丽多姿”指色彩华丽灿烂、形态或风貌丰富多样，均符合文意，保留。A项“鳞次栉比”指像鱼鳞和梳子的齿一样，一个挨着一个地排列着，多形容房屋等密集，B项“千姿百态”形容姿态多种多样，各不相同，均与文意不符，排除。</w:t>
      </w:r>
    </w:p>
    <w:p w14:paraId="4083DA3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南岸有绿洲、沙漠，北岸则是······的泥岩、砂岩及砂砾组成的奇石怪岩”“一河隔两岸，胜似两重天”可知，横线处要体现出南北两岸风貌差距极大，C项“截然不同”形容两种事物没有一点共同之处，符合文意，当选。D项“各有千秋”指各有各的存在价值，各有所长，各有优点，与文意不符，且用法错误，可以表达为“两种地貌各有千秋”，排除。</w:t>
      </w:r>
    </w:p>
    <w:p w14:paraId="4D0A9D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20B6C6B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【文段出处】中国国家地理《布尔津五彩滩——“一河隔两岸，胜似两重天”》</w:t>
      </w:r>
    </w:p>
    <w:p w14:paraId="35195BF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1061CF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43.D</w:t>
      </w:r>
    </w:p>
    <w:p w14:paraId="29038A1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可从第二空入手，根据横线前“、”可知，横线处与“顾此失彼”构成近义并列，需体现应付不了之意，A项“捉襟见肘”比喻顾此失彼，应付不过来，D项“左支右绌”指力量不足，应付了这一方面，那一方面又有了问题，均与文意相符，保留。B项“进退维谷”形容处于进退两难的困境，C项“得不偿失”指得到的抵不上失去的，均与文意无关，排除。</w:t>
      </w:r>
    </w:p>
    <w:p w14:paraId="5604796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加强顶层设计更为重要”“如果不能全景式俯瞰和把握制度建设全局，采取总体构想和战略谋划，做到胸中有数”“层层系统设计”可知，横线处需体现从全局逐步向下推进之意，D项“自上而下”意为从上到下，与文意相符，当选。A项“抽丝剥茧”形容对事物进行细致入微、层次分明的分析，强调由表及里逐步探究本质的思维方式，与文意无关，排除。</w:t>
      </w:r>
    </w:p>
    <w:p w14:paraId="0EAD672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6A1905D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【文段出处】中国社会科学报《制度建设：明晰思路、建构体系和优势转化》</w:t>
      </w:r>
    </w:p>
    <w:p w14:paraId="16D4165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A5439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44.B</w:t>
      </w:r>
    </w:p>
    <w:p w14:paraId="09521A3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第一空，根据“通过伴随无人平台实施网络作战，篡改指控系统指令和数据实现‘            ’”“致使敌方指挥失灵、协同失效、人员失能，            地失去战斗力，从而实现‘不战而屈人之兵’”可知，横线处应表达通过篡改指令和数据，彻底使敌方丧失战斗能力之意。B项“釜底抽薪”比喻从根本上解决问题，此处指从根本上使敌方指挥系统失效，符合文意，保留。A项“移花接木”比喻使用手段暗中更换，虽与“篡改”相关，但更侧重“替换”而非“根本性破坏”，与后文“致使敌方指挥失灵、协同失效、人员失能”这种彻底瓦解战斗力的语境相比，程度不足，排除；C项“暗度陈仓”强调用假象迷惑对方、暗中行动，文段未提及迷惑性假象，排除；D项“反客为主”指变被动为主动，与篡改指令的语义关联不强，排除。</w:t>
      </w:r>
    </w:p>
    <w:p w14:paraId="7B0E0E3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第二空，代入验证。B项“无声无息”比喻没什么动静，与“不战而屈人之兵”相呼应，体现让敌人在毫无察觉中丧失战斗力，符合智能作战和网络攻击的特点，当选。</w:t>
      </w:r>
    </w:p>
    <w:p w14:paraId="23BF9F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9A3212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255DE62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【文段出处】解放军报《试析未来特种作战行动样式》</w:t>
      </w:r>
    </w:p>
    <w:p w14:paraId="21C75B5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4CD8E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45.A</w:t>
      </w:r>
    </w:p>
    <w:p w14:paraId="18F34AA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反不正当竞争法通过······能够及时规制尚未被其他专门法······的知识产权侵权行为，防止创新成果被不正当使用”可知，反不正当竞争法可以对专门法保护不到的创新成果进行保护，故横线处应体现出反不正当竞争法能弥补其他专门法的不足之意。A项“补充”指原来不足或有损失时，增加一部分，D项“额外”指超出规定数量或范围，强调规定份额之外的，均符合文意，保留。B项“特殊”指不同于同类的事物或不同的情况，强调特殊性，与文意不符，排除；C项“升级”指从较低的等级或班级升到较高的等级或班级，强调等级升高，与文意不符，排除。</w:t>
      </w:r>
    </w:p>
    <w:p w14:paraId="3BB01D4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面对数字时代······的新型不正当竞争行为”可知，横线处应体现数字时代不断出现各种不正当竞争行为之意。A项“层出不穷”指接连不断地出现，没有穷尽，符合文意，保留。D项“应运而生”指顺应某种时机、条件、需要等而产生，常用于积极语境中，与“不正当竞争行为”这一消极话题搭配不当，排除。</w:t>
      </w:r>
    </w:p>
    <w:p w14:paraId="4E3D25B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三空，代入验证，根据“反不正当竞争法通过一般条款的灵活解释和适用，能够及时规制尚未被其他专门法······的知识产权侵权行为”可知，这些行为是专门法没涵盖、未涉及到的。A项“覆盖”指遮盖，符合文意，当选。</w:t>
      </w:r>
    </w:p>
    <w:p w14:paraId="1410EF6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72B1258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【文段出处】《加强知识产权保护 繁荣发展数字文化产业》</w:t>
      </w:r>
    </w:p>
    <w:p w14:paraId="22FCE18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3E0950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46.D</w:t>
      </w:r>
    </w:p>
    <w:p w14:paraId="7A4634E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横线前“由于其地质年代相较于寒武纪、奥陶纪等更年轻”可知，横线处所填词语应表达由于中生代寄生蠕虫的地质年代较年轻，难以通过其化石探明深层次的生物演化奥秘之意。A项“阐释”指通过说明、陈述对事物进行深入解释，C项“探寻”指探求，寻找，D项“揭示”指使人看见原来不容易看出的事物，均符合文意，保留。B项“蕴含”指包含，文段此处意在强调难以通过化石了解奥秘，而非化石本身难以“包含”奥秘，与文意不符，排除。</w:t>
      </w:r>
    </w:p>
    <w:p w14:paraId="6960DED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横线后“使得分类鉴定难度极高”可知，横线处所填词语应表达特征不清晰之意。A项“相似”指相像，特征相像也可能导致鉴定难，C项“统一”指整体的，一致的，无差别的，D项“模糊”指不分明，不清楚，均符合文意，保留。</w:t>
      </w:r>
    </w:p>
    <w:p w14:paraId="168D902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三空，根据前文“地质年代······更年轻”“化石保存状况不佳”“分类鉴定难”的多重原因可知，横线处所填成语应表达中生代寄生蠕虫的相关研究数量很少之意。D项“屈指可数”指数量少，符合文意，当选。A项“凤毛麟角”比喻珍贵稀有的人才或事物，文段并未体现研究很珍贵之意，且与“相关研究”搭配不当，排除；C项“无从下手”指事物头绪繁复导致无法找到处理途径，置于此处程度太重，排除。</w:t>
      </w:r>
    </w:p>
    <w:p w14:paraId="05822ED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3F0165D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【文段出处】科学大院-《采到一块神秘的化石，7年后才知道是什么》</w:t>
      </w:r>
    </w:p>
    <w:p w14:paraId="118568B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25B8EC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47.C</w:t>
      </w:r>
    </w:p>
    <w:p w14:paraId="2700E06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本题从第二空入手。根据横线后“支撑作用”和前文“发展新质生产力不能简单理解为          传统产业，它与发展传统产业并不矛盾”“具有不可替代的作用”可知，横线处应表示传统产业对新兴产业和未来产业发展起到支撑作用的核心属性。C项“基础性”强调支撑的根基地位，突出不可或缺的前提价值，D项“根本性”侧重体现支撑作用的重要性，二者均能精准契合“支撑”的核心内涵，均符合文意，保留。A项“持续性”强调时间上的连续不断，文中并未突出传统产业对新兴产业和未来产业的支撑作用在时间上的连续性，与文意不符，排除；B项“系统性”侧重整体联动、有组织的体系化特征，文段未提及传统产业的支撑是“整体联动、有组织”的，与文意不符，排除。</w:t>
      </w:r>
    </w:p>
    <w:p w14:paraId="25C6E32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第三空，根据“传统产业不仅对战略性新兴产业和未来产业发展有        支撑作用，而且可以转化为新兴产业，通过科技赋能，成为新质生产力的重要······”可知，横线处应表示传统产业通过科技赋能对新质生产力所发挥的作用。C项“载体”指能传递能量或运载其他物质的物体，置于此处可体现传统产业通过科技赋能成为新质生产力的重要载体，即传统产业作为一种承载新质生产力的形式，符合文意，保留。D项“源头”指事物的根源、起始点，文段强调传统产业通过科技赋能后参与新质生产力构建，而非作为新质生产力的起源，与文意不符，排除。</w:t>
      </w:r>
    </w:p>
    <w:p w14:paraId="3667AE8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第一空，代入验证。C项“淘汰”有使不适应发展的事物去除之意，填入横线处可表示不能片面地认为因为发展新质生产力就将传统产业去除，与后文“它与发展传统产业并不矛盾”相呼应，符合文意，当选。</w:t>
      </w:r>
    </w:p>
    <w:p w14:paraId="596977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6BC3CD0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【文段出处】湖南日报《新质生产力怎么“上新”》</w:t>
      </w:r>
    </w:p>
    <w:p w14:paraId="7BF2A3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B55A30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48.A</w:t>
      </w:r>
    </w:p>
    <w:p w14:paraId="18022F2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以及“个别表现在：发言提纲套用、借用、翻用，发言内容偏离主题、不及重点······相互批评官话、套话”可知，横线处与“回避矛盾”形成并列关系，表达不负责、不直面问题之意。A项“敷衍了事”指办事马马虎虎，只求应付过去就算完事，D项“闪烁其词”指言语遮遮掩掩，吞吞吐吐，侧重于说话不明确，可体现回避矛盾不直说之意，均符合文意，保留。B项“虚与委蛇”指对人虚情假意，敷衍应酬，虽有敷衍之意，但侧重于对人的态度，而非做事的态度，与文意不符，排除；C项“畏首畏尾”形容胆子小，疑虑重重，侧重于胆小，与文意无关，排除。</w:t>
      </w:r>
    </w:p>
    <w:p w14:paraId="41BF64C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可知，横线处与“似曾相识”形成并列关系，体现发言内容没有新意之意。A项“老生常谈”比喻人们听惯了的没有新鲜意思的话，符合文意，保留。D项“不痛不痒”比喻言行没有切中要害，不解决实际问题，与文意不符，排除。</w:t>
      </w:r>
    </w:p>
    <w:p w14:paraId="71155A6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第三空，代入验证。根据“、”可知，横线处与“避重就轻”形成并列关系，体现剖析问题找不到关键之意。A项“隔靴搔痒”比喻说话、作文等不中肯，没有抓住问题的关键，符合文意，当选。</w:t>
      </w:r>
    </w:p>
    <w:p w14:paraId="6DE2B07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25C267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【文段出处】中国纪检监察报《方圆谈｜“用好批评和自我批评的武器”⑤敢于正视 主动改正》</w:t>
      </w:r>
    </w:p>
    <w:p w14:paraId="7DBFA6F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4A6F54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49.B</w:t>
      </w:r>
    </w:p>
    <w:p w14:paraId="0FDEAF2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根据“作风建设无小事，廉洁自律的考验往往藏在‘生活圈’‘社交圈’的细微处”可知，横线处应体现年轻干部对待小事、细微之事时要保证时刻清醒之意，A项“常备不懈”指时刻准备且毫不松懈，B项“如履薄冰”指好像踩在薄冰上，形容谨慎戒惧，D项“谨小慎微”指对待细微的事情也采取谨慎小心的态度，均能体现出对待小事、细微之事时保持清醒之意，符合文意，保留。C项“严阵以待”指摆好严整的阵势，等待来犯的敌人，语气较重，多用于应对具体威胁，与作风建设长期警惕的语境不完全匹配，排除。</w:t>
      </w:r>
    </w:p>
    <w:p w14:paraId="062A3F6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搭配“公私界限”，且根据“······的清醒系紧‘风纪扣’”“在校准坐标中涵养浩然之气”可知，横线处应体现公事和私事的界限很分明之意，B项“寸步不让”指丝毫不肯让步或妥协，能够体现出将公事与私事区分开之意，表示严格划分、坚决守住，符合文意，保留。A项“一丝不苟”指连最细微的地方也不马虎，形容办事认真，与“界限”搭配不如“寸步不让”能够直接体现坚守，排除；D项“壁垒分明”指界限非常清楚，能够体现出公事与私事有界限之意，但多用于不同阵营或观点对立，与“公私界限”的坚守行动相比稍显静态，不如“寸步不让”主动，排除。</w:t>
      </w:r>
    </w:p>
    <w:p w14:paraId="6509F8F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三空，代入验证，根据“一些年轻干部的案例警示我们”与“正是对‘微特权’‘小官僚’习以为常的麻木”可知，文段强调对“微特权”“小官僚”的习以为常，会使得违法乱纪行为出现，故横线处应体现出现之意，B项“起点”指开始的地方或时间，符合文意，当选。</w:t>
      </w:r>
    </w:p>
    <w:p w14:paraId="020F1C5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5C345B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【文段出处】人民日报《拧紧作风“总开关” 锻造清廉“生力军”（思想纵横）》</w:t>
      </w:r>
    </w:p>
    <w:p w14:paraId="71F4A8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EFA0BD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50.D</w:t>
      </w:r>
    </w:p>
    <w:p w14:paraId="317730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空，搭配“边界”，B项“划定”指经划分后固定或确定界限的行为，C项“厘清”指梳理清楚，D项“恪守”指严格遵守，均与“边界”搭配恰当，保留。A项“遵循”指遵照，常搭配“方法”“规则”等，与“边界”搭配不当，排除。</w:t>
      </w:r>
    </w:p>
    <w:p w14:paraId="4708D6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空，根据“更”可知，横线处与“超越法院职权”构成递进关系，应体现超越职权之意，且程度更重，D项“越俎代庖”比喻超出自己业务范围去处理别人所管的事，置于此处可体现越权并付诸行动之意，符合文意，保留。B项“为所欲为”指很随意地想干什么就干什么，C项“画地为牢”比喻只许在规定好的范围内活动，均不能与前文构成递进关系，排除。</w:t>
      </w:r>
    </w:p>
    <w:p w14:paraId="2A5F310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第三空，代入验证，D项“保障”指保护（权利、生命、财产等）使不受侵害，与“作用”搭配恰当，当选。</w:t>
      </w:r>
    </w:p>
    <w:p w14:paraId="466F1F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0FF6333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【文段出处】法制日报《进一步全面深化司法改革 加快推进中国式法治现代化》</w:t>
      </w:r>
    </w:p>
    <w:p w14:paraId="6C5B2B5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B55C5B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51.C</w:t>
      </w:r>
    </w:p>
    <w:p w14:paraId="739A9B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横线出现在文段中间，需结合前后文进行分析。横线前引出“担当作为”的话题，从“字面”和“辩证法”两个角度论述“担当”与“作为”辩证统一的关系，横线后指出事业发展有风险需要担当，只有敢于担当才能解决矛盾。结合横线前后文内容可知，横线处既要承接前文“担当”与“作为”的辩证统一关系，又要能引出后文所论述的“需要担当”，C项“担当和作为是一体的，不作为就是不担当，有作为就要有担当”直接点明担当与作为的同一性，与前文“担当是作为的前提，作为是担当的体现”紧密呼应，且自然引出后文“才需要担当”的论述，衔接恰当，当选。</w:t>
      </w:r>
    </w:p>
    <w:p w14:paraId="271529C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A90858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A项，强调“真抓实干、埋头苦干”，与前后文“辩证关系”和“风险矛盾”话题衔接不紧密，排除；</w:t>
      </w:r>
    </w:p>
    <w:p w14:paraId="46EE471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B项，强调干部要担当干事，未体现“作为”与“担当”的关系，无法承接前文，排除；</w:t>
      </w:r>
    </w:p>
    <w:p w14:paraId="3A516A3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D项，强调不担当、不作为的后果，未体现出二者之间的关系，且后文与“打败仗”无关，排除。</w:t>
      </w:r>
    </w:p>
    <w:p w14:paraId="1DFD828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3CD65F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【文段出处】人民日报《让担当作为蔚然成风（思想纵横）》</w:t>
      </w:r>
    </w:p>
    <w:p w14:paraId="51E98D1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C054DB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52.A</w:t>
      </w:r>
    </w:p>
    <w:p w14:paraId="6D9626B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开篇指出生态保护修复工程的人工修复周期较短，而高寒地区生态群落的自然演替需要几十年甚至更长时间，二者存在明显的时间差。接着以拉萨河流域生态保护修复试点工程为例，以工程验收时生态系统仍不稳定详细阐述首句体现的这种时间差。随后进一步指出，现有工程投资多用于施工期，后期若管护不足易导致退化，威胁长期效益。因此，文段通过层层铺垫，最终落脚于工程周期结束后因管护不足导致的退化风险，意在强调高寒地区生态修复工程必须重视后期管护，以保障长期可持续性，对应A项。</w:t>
      </w:r>
    </w:p>
    <w:p w14:paraId="0C8BC46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B项，“充分发挥系统的内在恢复能力”与文意相悖，文段指出仅依靠生态系统自然恢复容易导致再次退化，因此需要加强人工管护，而非仅依赖系统内在恢复能力，排除；</w:t>
      </w:r>
    </w:p>
    <w:p w14:paraId="6588638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C项，“科学规划投资和建设周期”偏离文段重点，文段强调工程结束后的管护问题，而非前期规划，排除；</w:t>
      </w:r>
    </w:p>
    <w:p w14:paraId="4C08C38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D项，“强调验收流程的规范性与科学性”文段未提及，属于无中生有，排除。</w:t>
      </w:r>
    </w:p>
    <w:p w14:paraId="40EB75C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7A838CC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【文段出处】中国科学院院刊《基于自然的青藏高原一体化生态保护修复优化管理》</w:t>
      </w:r>
    </w:p>
    <w:p w14:paraId="29CA9A1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C10A47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53.C</w:t>
      </w:r>
    </w:p>
    <w:p w14:paraId="14CE5A1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词句理解题，“‘两头下注’策略”位于文段结尾，需结合前文内容进行理解。前文指出，条叶庭荠和四齿芥的种子在一年内通过秋季和早春两次萌发机会，形成两个不同的萌发幼苗群体，这种机制是植物长期适应荒漠环境的一种策略，有助于在极端环境下维持和繁衍。因此，“两头下注”策略指的是植物为应对环境不确定性，在不同季节安排萌发，从而形成两个幼苗群体以增加生存几率的适应方式，对应C项。</w:t>
      </w:r>
    </w:p>
    <w:p w14:paraId="43B83C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A项，“两次休眠”偏离重点，文段强调的是萌发时机的分化，而非休眠次数，排除；</w:t>
      </w:r>
    </w:p>
    <w:p w14:paraId="2F5DE7C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B项，“随机切换”表述错误，休眠与萌发的转换是有条件的规律性过程，并非随机，排除；</w:t>
      </w:r>
    </w:p>
    <w:p w14:paraId="500E0A0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能同时应对降水和温度两种极端环境”更类似于这一策略所要达到的目的或效果，不是对“‘两头下注’策略”的直接解释，并且文段中“‘两头下注’策略”是针对不同季节的萌发机会分配，并非直接同时应对“降水”和“温度”两种环境，排除。</w:t>
      </w:r>
    </w:p>
    <w:p w14:paraId="15C5AAE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14D5C1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【文段出处】中国科学院植物研究所植被与环境变化重点实验室网《植物所黄振英研究组在荒漠短命植物土壤种子休眠循环机制研究中取得新进展》</w:t>
      </w:r>
    </w:p>
    <w:p w14:paraId="3EF688C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6485D9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54.D</w:t>
      </w:r>
    </w:p>
    <w:p w14:paraId="0C2DA3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开篇介绍在人工智能时代的大背景下，一些问题进入伦理视界，接着指出传统伦理学是近距离的、熟悉的直接交往，科技的深度介入使人工智能逐渐进入到我们为之负责和道德关切的领域。最后强调人工智能给人类的伦理世界和道德空间带来深刻变革，伦理关系从原来的“人与人”“人与动物”“人与自然”扩展到“人与人工智能”。故文段最后介绍的是人工智能给伦理世界和道德空间带来变革，接下来应继续围绕这一话题展开，对应D项。</w:t>
      </w:r>
    </w:p>
    <w:p w14:paraId="0B4EE97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A、C两项，均仅提及“人工智能”，未提及“伦理和道德”，偏离文段最后谈论的核心话题，衔接不当，排除；</w:t>
      </w:r>
    </w:p>
    <w:p w14:paraId="484F0E3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B项，“技术因素”范围扩大，且未提及“伦理和道德”，偏离文段最后谈论的核心话题，衔接不当，排除。</w:t>
      </w:r>
    </w:p>
    <w:p w14:paraId="14042C2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116F0CB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【文段出处】光明日报《构建负责任人工智能治理体系的伦理路》</w:t>
      </w:r>
    </w:p>
    <w:p w14:paraId="5AFABC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89BC4B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55.A</w:t>
      </w:r>
    </w:p>
    <w:p w14:paraId="21F6C56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 xml:space="preserve">文段开篇交代背景，即我国城镇化率提高，城市成为人口集聚的主要空间。随后指出要实现智慧城市发展目标，需紧跟新一代数字技术发展趋势，让数字技术与市域社会治理相融合。后文给出明确对策，即建设区、街、社（村）三层结构的数智化基层治理平台。尾句进一步强调，该平台可推动城市治理实现从数字化到智能化再到智慧化的转型升级。故文段重点在对策部分，强调通过建设数智化基层治理平台可以实现城市治理的智慧化转型升级，A项精准概括了文段从“治理手段创新”到“智慧化升级”的核心脉络，其中“智理”一词巧妙呼应“智慧治理”，形象贴切，契合主旨，当选。 </w:t>
      </w:r>
    </w:p>
    <w:p w14:paraId="2442F0C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B项，“打造基层治理平台”表述片面，文段的落脚点不仅仅是“打造平台”，而是通过这个平台实现城市治理的智慧化转型升级，排除；</w:t>
      </w:r>
    </w:p>
    <w:p w14:paraId="491C2EC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C项，“数字技术”表述不明确，未体现“数智化平台”与“城市治理智慧化”之间的关系，排除；</w:t>
      </w:r>
    </w:p>
    <w:p w14:paraId="6097D28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D项，“基层治理”概念偷换，且未表明“数智化”，排除。</w:t>
      </w:r>
    </w:p>
    <w:p w14:paraId="517B3A0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56CB463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【文段出处】光明日报《市域管理：变“治理”为“智理”》</w:t>
      </w:r>
    </w:p>
    <w:p w14:paraId="352BA54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E52340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56.C</w:t>
      </w:r>
    </w:p>
    <w:p w14:paraId="26609E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对比选项，确定首句。③句介绍世界时的定义和特点，④句讲述1972年“协调世界时”成为国际标准时间，均可以作为首句，不好判断。</w:t>
      </w:r>
    </w:p>
    <w:p w14:paraId="63C774F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继续寻找其他线索，发现⑤句出现结论词“因此”，并指出为了兼顾人们对时刻和时间间隔的需要，定义了“协调世界时”，故⑤句前应指出为何要定义协调世界时的相关内容，⑤句前有①句、②句、⑥句，①句介绍“原子时能够满足对时间间隔均匀性的要求，但它的时刻却没有具体的物理含义”的缺陷，可与⑤句构成因果关系，保留B、C两项。②句介绍了一种新的时间尺度，⑥句仅指出世界时的秒长大致呈逐年变长的趋势，均无法与⑤句构成因果关系，排除A、D两项。</w:t>
      </w:r>
    </w:p>
    <w:p w14:paraId="7023952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继续寻找其他线索，发现⑥句出现转折词“但是”，指出地球自转不均匀等特性使得世界时的秒长逐年变长，故可利用转折词捆绑解题，⑥句前有②句和③句，③句指出世界时反映地球在空间旋转时自转的角度和地轴方位，与⑥句话题一致，且符合转折关系，对应C项。②句介绍了协调世界时的原理，与⑥句内容无关，无法构成转折关系，排除B项。</w:t>
      </w:r>
    </w:p>
    <w:p w14:paraId="5D2F06B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4C602E5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1465F9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【文段出处】人民日报《准时，究竟以何为准（唠“科”）》</w:t>
      </w:r>
    </w:p>
    <w:p w14:paraId="39B1C5A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EA5535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57.D</w:t>
      </w:r>
    </w:p>
    <w:p w14:paraId="6C5192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对比选项，确定首句。②句介绍火星上有多种不同形态的风沙地貌，⑥句具体论述祝融号着陆区的一种典型的风沙地貌，按照逻辑顺序应先提出观点，再通过例子进行解释说明，故②句应在⑥句之前，②句更适合作为首句，排除A、B两项。</w:t>
      </w:r>
    </w:p>
    <w:p w14:paraId="6F4280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对比C、D两项，②句后所接句子分别为④句和⑥句，⑥句引出横向风成脊的话题，④句介绍科学家计算横向风成脊的脊线、顺风剖面和风成床的形态特征，并有所发现，按照逻辑顺序，应先提出话题，再具体论述，故⑥句应在④句之前，排除C项，锁定D项。</w:t>
      </w:r>
    </w:p>
    <w:p w14:paraId="412974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65B8F8D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【文段出处】学习强国《每日科普|询天问火 火星回答了我们什么？》</w:t>
      </w:r>
    </w:p>
    <w:p w14:paraId="77778D6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D502A9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58.B</w:t>
      </w:r>
    </w:p>
    <w:p w14:paraId="569BA46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横线位于文段结尾，且横线前出现结论词“所以”，故需对前文内容进行总结。文段开篇介绍液晶显示器是光偏振调制显示器件，并指出自然光通过入射偏振片会变为线偏振光，后文通过分号引导的并列结构介绍施加或不施加电压可以控制液晶分子的倾向，从而影响线偏振光的通过与否，实现暗态和亮态的显示。故横线处应总结前文，强调利用适当的驱动电压可以控制光的通过情况，形成明暗对比的显示效果，对应B项。</w:t>
      </w:r>
    </w:p>
    <w:p w14:paraId="6FAD646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A项，“中间灰度状态”文段并未提及，文段仅提及“明暗两种状态”，无法衔接前文，排除；</w:t>
      </w:r>
    </w:p>
    <w:p w14:paraId="3EA3164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C项，“液晶分子的旋转作用”偏离前文重点，前文重点围绕电压与显示效果的关系展开论述，无法衔接前文，排除；</w:t>
      </w:r>
    </w:p>
    <w:p w14:paraId="2BD5ABE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D项，“站在不同视角看显示屏”文段并提及，无中生有，无法衔接前文，排除。</w:t>
      </w:r>
    </w:p>
    <w:p w14:paraId="2380C2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2DC190A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【文段出处】OSA西光所分会《光的偏振》</w:t>
      </w:r>
    </w:p>
    <w:p w14:paraId="73B3F72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98D18B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59.B</w:t>
      </w:r>
    </w:p>
    <w:p w14:paraId="69760D7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开篇指出民主真正落地需要明确可操作的行动指南，而行动指南则需要依托科学规范的程序文本来呈现，引出“民主落地”和“程序文本”的话题，接着强调科学民主的程序文本对民主从理念转化为现实以及维护民主之实的重要作用。然后通过三方面进行具体的解释说明，一是借鉴他国成熟议事规则，二是扎根实际，注重历史与现实等有机统一找到正确方法，三是构建长效化程序完善机制。故文段重在强调要以科学规范的程序文本，即程序内容为基础来筑牢实质民主，对应B项。</w:t>
      </w:r>
    </w:p>
    <w:p w14:paraId="1CE7BEA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A项，文段强调以“程序文本”为基础，“以程序保障之力”表述不明确，排除；</w:t>
      </w:r>
    </w:p>
    <w:p w14:paraId="5A2A62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C项，文段重点围绕“程序文本”展开，未涉及“程序的运行”，无中生有，排除；</w:t>
      </w:r>
    </w:p>
    <w:p w14:paraId="55CD0B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D项，文段强调以“程序文本”为基础，“以程序科学之道”表述不明确，且“民主之义”偏离重点，文段侧重讨论民主如何落到实处，排除。</w:t>
      </w:r>
    </w:p>
    <w:p w14:paraId="316180A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7FAC9B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【文段出处】学习时报《坚持以程序民主赋能实质民主》</w:t>
      </w:r>
    </w:p>
    <w:p w14:paraId="3FFAC8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60.D</w:t>
      </w:r>
    </w:p>
    <w:p w14:paraId="3E732E5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A项，根据文段“分为交感神经和副交感神经，前者负责将身体切换到‘战斗模式’，后者负责切换到‘放松模式’”可知，交感神经负责将身体切换到“战斗模式”而非放松状态，偷换概念，排除；</w:t>
      </w:r>
    </w:p>
    <w:p w14:paraId="733AFA0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根据文段“半规管原本是感知头部运动的器官，目前尚不清楚它是如何捕捉气压变化的。当半规管感知气压降低，会将信息传递给前庭神经”可知，气压变化的信息是通过半规管传递给前庭神经的，故最先感知气压变化的并非前庭神经，表述错误，排除；</w:t>
      </w:r>
    </w:p>
    <w:p w14:paraId="39348E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C项，根据文段“交感神经过度活跃时，身体会处于紧张状态，产生焦虑感”可知，是“交感神经”过度活跃时，身体会产生焦虑感，而非“副交感神经”，偷换概念，排除；</w:t>
      </w:r>
    </w:p>
    <w:p w14:paraId="18EA931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D项，根据文段“当下丘脑因气压变化受到刺激时，自主神经的功能就会紊乱，导致精神状态不佳”可知，气压变化通过影响下丘脑，进而影响人的精神状态，表述正确，当选。</w:t>
      </w:r>
    </w:p>
    <w:p w14:paraId="5FB7120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57B0DF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【文段出处】《科学世界》杂志《心情“郁郁”竟然跟天气有关？》</w:t>
      </w:r>
    </w:p>
    <w:p w14:paraId="7C57A15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FCA9E3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61.C</w:t>
      </w:r>
    </w:p>
    <w:p w14:paraId="6905B9F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首先指出县域“错位”须根植于自身“家底”，依托本土禀赋的比较优势形成独特起点，接着通过并列关联词“同时”指出过去的优势可能减弱，新的机遇窗口不断开启，并通过“因此”指出“错位发展”要秉持发展眼光和创新思维，主动对接多重需求，将潜在优势转化为产业竞争力与市场效益。故文段重点论述县域如何实现科学推进“错位发展”，对应C项。</w:t>
      </w:r>
    </w:p>
    <w:p w14:paraId="393FCA0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A项，“以产业促发展方能激活乡村振兴新动能”偏离文段核心话题，文段重点强调县域“错位发展”，排除；</w:t>
      </w:r>
    </w:p>
    <w:p w14:paraId="4B6CAF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B项，“主动聚焦国家战略需求”是“错位发展”中主动对接的一个方面，表述片面，排除；</w:t>
      </w:r>
    </w:p>
    <w:p w14:paraId="41C1D4C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D项，文段并未探讨“前瞻性谋划”与“摸清‘家底’”的因果关系，而是将“摸清‘家底’”作为“错位发展”的基础，“前瞻性谋划”作为“错位发展”的进阶要求，与文意不符，排除。</w:t>
      </w:r>
    </w:p>
    <w:p w14:paraId="5999606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5610E7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【文段出处】人民日报《县域经济高质量发展的科学方法论 准确把握错位发展、串珠成链》</w:t>
      </w:r>
    </w:p>
    <w:p w14:paraId="61AF6F7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0FCD25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62.A</w:t>
      </w:r>
    </w:p>
    <w:p w14:paraId="7C6C68C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开篇介绍了西风带的定义及其成因，接着指出西风带的活动强度取决于赤道与极地的温差，并对此进行了具体论述，随后指出全球变暖导致南北温差减小，西风带环流减弱，进而导致极涡分裂南下，冷暖空气交汇加剧，最终使得中纬度地区天气更极端，急剧降温且持续时间更长。即文段先引出话题西风带，随后说明全球变暖导致西风带环流变弱，最终导致中纬度地区急剧降温，故文段重点讨论的问题是中纬度地区为何急剧降温，对应A项。</w:t>
      </w:r>
    </w:p>
    <w:p w14:paraId="167D906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B项，“中纬度地区高空会形成西风带”对应文段首句，非重点，排除；</w:t>
      </w:r>
    </w:p>
    <w:p w14:paraId="7606AD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C项，“风力巨大”对应“当温差较大时，西风带流动较强”，表述片面，且“风力持久”文段并未提及，无中生有，排除；</w:t>
      </w:r>
    </w:p>
    <w:p w14:paraId="6F3A90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D项，文段论述西风带风力与南北温差的关系是为了说明中纬度地区为何会有极端寒潮天气，该项属于文段的非重点内容，排除。</w:t>
      </w:r>
    </w:p>
    <w:p w14:paraId="531C62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238F578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【文段出处】微信公众号 科学大院《比北极点还冷的地方，在山西》</w:t>
      </w:r>
    </w:p>
    <w:p w14:paraId="15AFE59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2F4B8D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63.D</w:t>
      </w:r>
    </w:p>
    <w:p w14:paraId="039D65A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横线出现在文段开头，且为首句中的分句，需结合首句及后文内容分析。文段开篇指出行政决策要遵循的原则，横线后指出按照行政决策的性质及目标，将其分为经营性决策和管理型决策。后文针对经营性决策和管理型决策的区别详细介绍。故文段强调了行政决策需要根据性质及目标不同，采取不同的行政决策模式，对应D项。</w:t>
      </w:r>
    </w:p>
    <w:p w14:paraId="7C94271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A项，仅对应后文“管理型决策”的相关内容，表述片面，排除；</w:t>
      </w:r>
    </w:p>
    <w:p w14:paraId="63963CA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B项，“具体情况”表述笼统，且缺少核心话题“行政决策”，排除；</w:t>
      </w:r>
    </w:p>
    <w:p w14:paraId="123BCD2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C项，“完善相关制度以确保其规范运行”文段并未涉及相关内容，无法与后文衔接，排除。</w:t>
      </w:r>
    </w:p>
    <w:p w14:paraId="68525DE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50E838C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【文段出处】民主与法制网《完善行政决策制度体系 提升行政决策质量和效率》</w:t>
      </w:r>
    </w:p>
    <w:p w14:paraId="09E32F3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01F49A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64.B</w:t>
      </w:r>
    </w:p>
    <w:p w14:paraId="2EB368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开篇指出牵牛花色丰富且一日内花色多变的特点，接着分别引用清人邹一桂的《小山画谱》中的描述及宋代诗人杨万里的诗句，进一步说明了其花色富于变化的特性。故作者引用古代诗文是为了说明牵牛具有变色的生物特性，对应B项。</w:t>
      </w:r>
    </w:p>
    <w:p w14:paraId="29F5D8A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A项“花期较为短暂”、C项“古代诗画的常见题材”文段均未提及，无中生有，排除；</w:t>
      </w:r>
    </w:p>
    <w:p w14:paraId="41AB2EC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D项，诗句是对牵牛变色特性的感性化描述，而非强调其“文化意蕴”，该项偏离文段重点，没有体现变色的特征，排除。</w:t>
      </w:r>
    </w:p>
    <w:p w14:paraId="3DA9EBF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17132A4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【文段出处】光明日报《秋日草花》</w:t>
      </w:r>
    </w:p>
    <w:p w14:paraId="5AC6E07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C6E16D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65.A</w:t>
      </w:r>
    </w:p>
    <w:p w14:paraId="2223077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A项，根据“······星系已经不再形成恒星······因此，它们的外观呈现红色”可知，表述正确，当选；</w:t>
      </w:r>
    </w:p>
    <w:p w14:paraId="1B75435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B项，根据“在近域宇宙中，大约有一半被观测到的星系已经不再形成恒星，也就是成为了息产星系”可知，文段论述的是“大约有一半”并非“大多数”，偷换概念，排除；</w:t>
      </w:r>
    </w:p>
    <w:p w14:paraId="50A9535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C项，根据“然而，星系并不是无限增长的”以及“大约有一半被观测到的星系已经不再形成恒星”可知，恒星并非一直处于形成阶段，故“呈正相关”表述不严谨，排除；</w:t>
      </w:r>
    </w:p>
    <w:p w14:paraId="3D054FC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D项，根据“它们不再包含年轻明亮的蓝色恒星，只剩下更老、更小的红色恒星”可知，表述错误，排除。</w:t>
      </w:r>
    </w:p>
    <w:p w14:paraId="53E8F3B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2F95002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【文段出处】《星闻 | 火星首批“居民”会是它？》</w:t>
      </w:r>
    </w:p>
    <w:p w14:paraId="25928678">
      <w:pPr>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br w:type="page"/>
      </w:r>
    </w:p>
    <w:p w14:paraId="2F5403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lang w:val="en-US" w:eastAsia="zh-CN" w:bidi="ar"/>
        </w:rPr>
        <w:t>四、数量关系</w:t>
      </w:r>
    </w:p>
    <w:p w14:paraId="43D0827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66.A</w:t>
      </w:r>
    </w:p>
    <w:p w14:paraId="05D19A0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方法一：设该商品成本为x元/件。根据题意，每件售价100元，每天可售出m件；若降价10%，日销量可提高25%，则降价后每件售价为100×（1-10%）=90元，日销量为（1+25%）m=1.25m件。根据单日利润与降价前相同，可列式：</w:t>
      </w:r>
      <m:oMath>
        <m:r>
          <m:rPr/>
          <w:rPr>
            <w:rFonts w:hint="default" w:ascii="DejaVu Math TeX Gyre" w:hAnsi="DejaVu Math TeX Gyre" w:cstheme="minorEastAsia"/>
            <w:caps w:val="0"/>
            <w:color w:val="000000"/>
            <w:spacing w:val="0"/>
            <w:kern w:val="0"/>
            <w:sz w:val="21"/>
            <w:szCs w:val="21"/>
            <w:shd w:val="clear" w:fill="FFFFFF"/>
            <w:lang w:val="en-US" w:eastAsia="zh-CN" w:bidi="ar"/>
          </w:rPr>
          <m:t>(100−x)</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m=(90−x)</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1.25m</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，解得x=50，故该商品成本为50元/件。</w:t>
      </w:r>
    </w:p>
    <w:p w14:paraId="29C038B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方法二：降价前每件售价100元，降价10%后每件售价减少100×10%=10元。根据公式：利润=售价-成本，成本不变，则售价减少10元即利润减少10元。根据题意可知，单日利润与降价前相同，根据公式：总利润=单个利润×数量，已知总利润一定，单个利润与数量成反比，该商品降价前、后日销量之比为1：（1+25%）=4：5，则降价前、后单个利润之比为5：4，相差1份即为利润减少的10元，则降价前单个利润为</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5−4</m:t>
            </m:r>
            <m:ctrlPr>
              <w:rPr>
                <w:rFonts w:ascii="DejaVu Math TeX Gyre" w:hAnsi="DejaVu Math TeX Gyre" w:cstheme="minorEastAsia"/>
                <w:i/>
                <w:iCs w:val="0"/>
                <w:caps w:val="0"/>
                <w:color w:val="000000"/>
                <w:spacing w:val="0"/>
                <w:kern w:val="0"/>
                <w:sz w:val="21"/>
                <w:szCs w:val="21"/>
                <w:shd w:val="clear" w:fill="FFFFFF"/>
                <w:lang w:val="en-US" w:bidi="ar"/>
              </w:rPr>
            </m:ctrlPr>
          </m:den>
        </m:f>
        <m: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10=50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元，故该商品成本为100-50=50元/件。</w:t>
      </w:r>
    </w:p>
    <w:p w14:paraId="3D09155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5670980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3EB21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67.C</w:t>
      </w:r>
    </w:p>
    <w:p w14:paraId="67B5011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根据题意可知，总人数为7人，老张和小王均到乙市，甲市人数超过一半且为整数，即甲市为4人或5人，分以下2种情况。</w:t>
      </w:r>
    </w:p>
    <w:p w14:paraId="655784E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①甲市4人，乙市3人：因老张和小王均到乙市，故只需在余下7-2=5人中选出1人分到乙市，其余4人去甲市即可，情况数为种。</w:t>
      </w:r>
    </w:p>
    <w:p w14:paraId="7F46CE7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②甲市5人，乙市2人：老张、小王均到乙市，余下5人均到甲市，情况数为1种。</w:t>
      </w:r>
    </w:p>
    <w:p w14:paraId="1ABAC2C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则共有5+1=6种不同的分组方式。</w:t>
      </w:r>
    </w:p>
    <w:p w14:paraId="775EC7E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22D9CD3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D29DAC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68.B</w:t>
      </w:r>
    </w:p>
    <w:p w14:paraId="608AB86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由题意可知，</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default" w:ascii="DejaVu Math TeX Gyre" w:hAnsi="DejaVu Math TeX Gyre" w:cstheme="minorEastAsia"/>
                    <w:caps w:val="0"/>
                    <w:color w:val="000000"/>
                    <w:spacing w:val="0"/>
                    <w:kern w:val="0"/>
                    <w:sz w:val="21"/>
                    <w:szCs w:val="21"/>
                    <w:shd w:val="clear" w:fill="FFFFFF"/>
                    <w:lang w:val="en-US" w:eastAsia="zh-CN" w:bidi="ar"/>
                  </w:rPr>
                  <m:t>v</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去</m:t>
                </m:r>
                <m:ctrlPr>
                  <w:rPr>
                    <w:rFonts w:ascii="DejaVu Math TeX Gyre" w:hAnsi="DejaVu Math TeX Gyre" w:cstheme="minorEastAsia"/>
                    <w:i/>
                    <w:iCs w:val="0"/>
                    <w:caps w:val="0"/>
                    <w:color w:val="000000"/>
                    <w:spacing w:val="0"/>
                    <w:kern w:val="0"/>
                    <w:sz w:val="21"/>
                    <w:szCs w:val="21"/>
                    <w:shd w:val="clear" w:fill="FFFFFF"/>
                    <w:lang w:val="en-US" w:bidi="ar"/>
                  </w:rPr>
                </m:ctrlPr>
              </m:sub>
            </m:sSub>
            <m:ctrlPr>
              <w:rPr>
                <w:rFonts w:ascii="DejaVu Math TeX Gyre" w:hAnsi="DejaVu Math TeX Gyre" w:cstheme="minorEastAsia"/>
                <w:i/>
                <w:iCs w:val="0"/>
                <w:caps w:val="0"/>
                <w:color w:val="000000"/>
                <w:spacing w:val="0"/>
                <w:kern w:val="0"/>
                <w:sz w:val="21"/>
                <w:szCs w:val="21"/>
                <w:shd w:val="clear" w:fill="FFFFFF"/>
                <w:lang w:val="en-US" w:bidi="ar"/>
              </w:rPr>
            </m:ctrlPr>
          </m:num>
          <m:den>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default" w:ascii="DejaVu Math TeX Gyre" w:hAnsi="DejaVu Math TeX Gyre" w:cstheme="minorEastAsia"/>
                    <w:caps w:val="0"/>
                    <w:color w:val="000000"/>
                    <w:spacing w:val="0"/>
                    <w:kern w:val="0"/>
                    <w:sz w:val="21"/>
                    <w:szCs w:val="21"/>
                    <w:shd w:val="clear" w:fill="FFFFFF"/>
                    <w:lang w:val="en-US" w:eastAsia="zh-CN" w:bidi="ar"/>
                  </w:rPr>
                  <m:t>v</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返</m:t>
                </m:r>
                <m:ctrlPr>
                  <w:rPr>
                    <w:rFonts w:ascii="DejaVu Math TeX Gyre" w:hAnsi="DejaVu Math TeX Gyre" w:cstheme="minorEastAsia"/>
                    <w:i/>
                    <w:iCs w:val="0"/>
                    <w:caps w:val="0"/>
                    <w:color w:val="000000"/>
                    <w:spacing w:val="0"/>
                    <w:kern w:val="0"/>
                    <w:sz w:val="21"/>
                    <w:szCs w:val="21"/>
                    <w:shd w:val="clear" w:fill="FFFFFF"/>
                    <w:lang w:val="en-US" w:bidi="ar"/>
                  </w:rPr>
                </m:ctrlPr>
              </m:sub>
            </m:sSub>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40</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100</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，根据“路程一定，速度与时间成反比”，则</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t</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去</m:t>
                </m:r>
                <m:ctrlPr>
                  <w:rPr>
                    <w:rFonts w:ascii="DejaVu Math TeX Gyre" w:hAnsi="DejaVu Math TeX Gyre" w:cstheme="minorEastAsia"/>
                    <w:i/>
                    <w:iCs w:val="0"/>
                    <w:caps w:val="0"/>
                    <w:color w:val="000000"/>
                    <w:spacing w:val="0"/>
                    <w:kern w:val="0"/>
                    <w:sz w:val="21"/>
                    <w:szCs w:val="21"/>
                    <w:shd w:val="clear" w:fill="FFFFFF"/>
                    <w:lang w:val="en-US" w:bidi="ar"/>
                  </w:rPr>
                </m:ctrlPr>
              </m:sub>
            </m:sSub>
            <m:ctrlPr>
              <w:rPr>
                <w:rFonts w:ascii="DejaVu Math TeX Gyre" w:hAnsi="DejaVu Math TeX Gyre" w:cstheme="minorEastAsia"/>
                <w:i/>
                <w:iCs w:val="0"/>
                <w:caps w:val="0"/>
                <w:color w:val="000000"/>
                <w:spacing w:val="0"/>
                <w:kern w:val="0"/>
                <w:sz w:val="21"/>
                <w:szCs w:val="21"/>
                <w:shd w:val="clear" w:fill="FFFFFF"/>
                <w:lang w:val="en-US" w:bidi="ar"/>
              </w:rPr>
            </m:ctrlPr>
          </m:num>
          <m:den>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t</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返</m:t>
                </m:r>
                <m:ctrlPr>
                  <w:rPr>
                    <w:rFonts w:ascii="DejaVu Math TeX Gyre" w:hAnsi="DejaVu Math TeX Gyre" w:cstheme="minorEastAsia"/>
                    <w:i/>
                    <w:iCs w:val="0"/>
                    <w:caps w:val="0"/>
                    <w:color w:val="000000"/>
                    <w:spacing w:val="0"/>
                    <w:kern w:val="0"/>
                    <w:sz w:val="21"/>
                    <w:szCs w:val="21"/>
                    <w:shd w:val="clear" w:fill="FFFFFF"/>
                    <w:lang w:val="en-US" w:bidi="ar"/>
                  </w:rPr>
                </m:ctrlPr>
              </m:sub>
            </m:sSub>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，设去程时间为5x小时，则返程时间为2x小时，根据“去程的用时比返程多3小时”，可列式：5x-2x=3，解得x=1，故</w:t>
      </w:r>
      <m:oMath>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t</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去</m:t>
            </m:r>
            <m:ctrlPr>
              <w:rPr>
                <w:rFonts w:ascii="DejaVu Math TeX Gyre" w:hAnsi="DejaVu Math TeX Gyre" w:cstheme="minorEastAsia"/>
                <w:i/>
                <w:iCs w:val="0"/>
                <w:caps w:val="0"/>
                <w:color w:val="000000"/>
                <w:spacing w:val="0"/>
                <w:kern w:val="0"/>
                <w:sz w:val="21"/>
                <w:szCs w:val="21"/>
                <w:shd w:val="clear" w:fill="FFFFFF"/>
                <w:lang w:val="en-US" w:bidi="ar"/>
              </w:rPr>
            </m:ctrlPr>
          </m:sub>
        </m:sSub>
        <m:r>
          <m:rPr/>
          <w:rPr>
            <w:rFonts w:hint="default" w:ascii="DejaVu Math TeX Gyre" w:hAnsi="DejaVu Math TeX Gyre" w:cstheme="minorEastAsia"/>
            <w:caps w:val="0"/>
            <w:color w:val="000000"/>
            <w:spacing w:val="0"/>
            <w:kern w:val="0"/>
            <w:sz w:val="21"/>
            <w:szCs w:val="21"/>
            <w:shd w:val="clear" w:fill="FFFFFF"/>
            <w:lang w:val="en-US" w:eastAsia="zh-CN" w:bidi="ar"/>
          </w:rPr>
          <m:t>=5</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小时，</w:t>
      </w:r>
      <m:oMath>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t</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返</m:t>
            </m:r>
            <m:ctrlPr>
              <w:rPr>
                <w:rFonts w:ascii="DejaVu Math TeX Gyre" w:hAnsi="DejaVu Math TeX Gyre" w:cstheme="minorEastAsia"/>
                <w:i/>
                <w:iCs w:val="0"/>
                <w:caps w:val="0"/>
                <w:color w:val="000000"/>
                <w:spacing w:val="0"/>
                <w:kern w:val="0"/>
                <w:sz w:val="21"/>
                <w:szCs w:val="21"/>
                <w:shd w:val="clear" w:fill="FFFFFF"/>
                <w:lang w:val="en-US" w:bidi="ar"/>
              </w:rPr>
            </m:ctrlPr>
          </m:sub>
        </m:sSub>
        <m:r>
          <m:rPr/>
          <w:rPr>
            <w:rFonts w:hint="default" w:ascii="DejaVu Math TeX Gyre" w:hAnsi="DejaVu Math TeX Gyre" w:cstheme="minorEastAsia"/>
            <w:caps w:val="0"/>
            <w:color w:val="000000"/>
            <w:spacing w:val="0"/>
            <w:kern w:val="0"/>
            <w:sz w:val="21"/>
            <w:szCs w:val="21"/>
            <w:shd w:val="clear" w:fill="FFFFFF"/>
            <w:lang w:val="en-US" w:eastAsia="zh-CN" w:bidi="ar"/>
          </w:rPr>
          <m:t>=2</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小时，往返用时5+2=7小时，由“往返的平均速度为40千米/小时”，可得甲、乙两地往返距离2S=vt=40×7=280千米，则甲、乙两地距离S=280÷2=140千米。</w:t>
      </w:r>
    </w:p>
    <w:p w14:paraId="21D2ED7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203DA0C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57CFD6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69.C</w:t>
      </w:r>
    </w:p>
    <w:p w14:paraId="1F46A22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方法一：根据“2028年张的年龄是李的1.5倍”，可设2028年张、李、刘的年龄分别为3x、2x、y，因2028年张的年龄比刘年龄的2倍大4岁，可得：3x=2y+4······①；根据“2024年张和李年龄的平均值是刘的2倍”，可得：</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(3x−4)+(2x−4)</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=2(y−4)</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······②；联立①②式，解得x=16，y=22。即2028年张的年龄为3x=3×16=48岁，到60岁需要60-48=12年，则张在12+2028=2040年60岁。</w:t>
      </w:r>
    </w:p>
    <w:p w14:paraId="716CC62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方法二：根据“2028年张的年龄是李的1.5倍”，可知</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2028</m:t>
            </m:r>
            <m:r>
              <m:rPr/>
              <w:rPr>
                <w:rFonts w:hint="eastAsia" w:ascii="DejaVu Math TeX Gyre" w:hAnsi="DejaVu Math TeX Gyre" w:cstheme="minorEastAsia"/>
                <w:caps w:val="0"/>
                <w:color w:val="000000"/>
                <w:spacing w:val="0"/>
                <w:kern w:val="0"/>
                <w:sz w:val="21"/>
                <w:szCs w:val="21"/>
                <w:shd w:val="clear" w:fill="FFFFFF"/>
                <w:lang w:val="en-US" w:eastAsia="zh-CN" w:bidi="ar"/>
              </w:rPr>
              <m:t>年张的年龄</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2028</m:t>
            </m:r>
            <m:r>
              <m:rPr/>
              <w:rPr>
                <w:rFonts w:hint="eastAsia" w:ascii="DejaVu Math TeX Gyre" w:hAnsi="DejaVu Math TeX Gyre" w:cstheme="minorEastAsia"/>
                <w:caps w:val="0"/>
                <w:color w:val="000000"/>
                <w:spacing w:val="0"/>
                <w:kern w:val="0"/>
                <w:sz w:val="21"/>
                <w:szCs w:val="21"/>
                <w:shd w:val="clear" w:fill="FFFFFF"/>
                <w:lang w:val="en-US" w:eastAsia="zh-CN" w:bidi="ar"/>
              </w:rPr>
              <m:t>年李的年龄</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，故2028年张的年龄是3的倍数；再过n年，张60岁时，年龄也是3的倍数，故n也为3的倍数，即所求年份-2028能被3整除。观察选项，只有C项满足。</w:t>
      </w:r>
    </w:p>
    <w:p w14:paraId="0E867C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5387265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A6ED50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70.B</w:t>
      </w:r>
    </w:p>
    <w:p w14:paraId="3C47DB2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根据题意可得，</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甲人数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总人数</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24</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100</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25</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，则</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乙人数</m:t>
            </m:r>
            <m:r>
              <m:rPr/>
              <w:rPr>
                <w:rFonts w:hint="default" w:ascii="DejaVu Math TeX Gyre" w:hAnsi="DejaVu Math TeX Gyre" w:cstheme="minorEastAsia"/>
                <w:caps w:val="0"/>
                <w:color w:val="000000"/>
                <w:spacing w:val="0"/>
                <w:kern w:val="0"/>
                <w:sz w:val="21"/>
                <w:szCs w:val="21"/>
                <w:shd w:val="clear" w:fill="FFFFFF"/>
                <w:lang w:val="en-US" w:eastAsia="zh-CN" w:bidi="ar"/>
              </w:rPr>
              <m:t>+</m:t>
            </m:r>
            <m:r>
              <m:rPr/>
              <w:rPr>
                <w:rFonts w:hint="eastAsia" w:ascii="DejaVu Math TeX Gyre" w:hAnsi="DejaVu Math TeX Gyre" w:cstheme="minorEastAsia"/>
                <w:caps w:val="0"/>
                <w:color w:val="000000"/>
                <w:spacing w:val="0"/>
                <w:kern w:val="0"/>
                <w:sz w:val="21"/>
                <w:szCs w:val="21"/>
                <w:shd w:val="clear" w:fill="FFFFFF"/>
                <w:lang w:val="en-US" w:eastAsia="zh-CN" w:bidi="ar"/>
              </w:rPr>
              <m:t>丙人数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总人数</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19</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25</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，又因为</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乙人数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丙人数</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=1+50%=</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，因此（乙人数+丙人数）既满足19的倍数，又满足5的倍数，故应为19×5n=95n人。那么</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乙人数</m:t>
            </m:r>
            <m:r>
              <m:rPr/>
              <w:rPr>
                <w:rFonts w:hint="default" w:ascii="DejaVu Math TeX Gyre" w:hAnsi="DejaVu Math TeX Gyre" w:cstheme="minorEastAsia"/>
                <w:caps w:val="0"/>
                <w:color w:val="000000"/>
                <w:spacing w:val="0"/>
                <w:kern w:val="0"/>
                <w:sz w:val="21"/>
                <w:szCs w:val="21"/>
                <w:shd w:val="clear" w:fill="FFFFFF"/>
                <w:lang w:val="en-US" w:eastAsia="zh-CN" w:bidi="ar"/>
              </w:rPr>
              <m:t>+</m:t>
            </m:r>
            <m:r>
              <m:rPr/>
              <w:rPr>
                <w:rFonts w:hint="eastAsia" w:ascii="DejaVu Math TeX Gyre" w:hAnsi="DejaVu Math TeX Gyre" w:cstheme="minorEastAsia"/>
                <w:caps w:val="0"/>
                <w:color w:val="000000"/>
                <w:spacing w:val="0"/>
                <w:kern w:val="0"/>
                <w:sz w:val="21"/>
                <w:szCs w:val="21"/>
                <w:shd w:val="clear" w:fill="FFFFFF"/>
                <w:lang w:val="en-US" w:eastAsia="zh-CN" w:bidi="ar"/>
              </w:rPr>
              <m:t>丙人数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总人数</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95</m:t>
            </m:r>
            <m:r>
              <m:rPr/>
              <w:rPr>
                <w:rFonts w:hint="eastAsia" w:ascii="DejaVu Math TeX Gyre" w:hAnsi="DejaVu Math TeX Gyre" w:cstheme="minorEastAsia"/>
                <w:caps w:val="0"/>
                <w:color w:val="000000"/>
                <w:spacing w:val="0"/>
                <w:kern w:val="0"/>
                <w:sz w:val="21"/>
                <w:szCs w:val="21"/>
                <w:shd w:val="clear" w:fill="FFFFFF"/>
                <w:lang w:val="en-US" w:eastAsia="zh-CN" w:bidi="ar"/>
              </w:rPr>
              <m:t>n</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125</m:t>
            </m:r>
            <m:r>
              <m:rPr/>
              <w:rPr>
                <w:rFonts w:hint="eastAsia" w:ascii="DejaVu Math TeX Gyre" w:hAnsi="DejaVu Math TeX Gyre" w:cstheme="minorEastAsia"/>
                <w:caps w:val="0"/>
                <w:color w:val="000000"/>
                <w:spacing w:val="0"/>
                <w:kern w:val="0"/>
                <w:sz w:val="21"/>
                <w:szCs w:val="21"/>
                <w:shd w:val="clear" w:fill="FFFFFF"/>
                <w:lang w:val="en-US" w:eastAsia="zh-CN" w:bidi="ar"/>
              </w:rPr>
              <m:t>n</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，结合题干条件“3个单位共有100多名职工”可知，总人数（125n）只能为125人，此时n=1。则甲单位的职工人数=125×24%=30人，丙单位的职工人数</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m:oMath>
        <m:r>
          <m:rPr/>
          <w:rPr>
            <w:rFonts w:hint="default" w:ascii="DejaVu Math TeX Gyre" w:hAnsi="DejaVu Math TeX Gyre" w:cstheme="minorEastAsia"/>
            <w:caps w:val="0"/>
            <w:color w:val="000000"/>
            <w:spacing w:val="0"/>
            <w:kern w:val="0"/>
            <w:sz w:val="21"/>
            <w:szCs w:val="21"/>
            <w:shd w:val="clear" w:fill="FFFFFF"/>
            <w:lang w:val="en-US" w:eastAsia="zh-CN" w:bidi="ar"/>
          </w:rPr>
          <m:t>95</m:t>
        </m:r>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m:r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2+3</m:t>
            </m:r>
            <m:ctrlPr>
              <m:r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=38</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人，题干所求=38-30=8人。</w:t>
      </w:r>
    </w:p>
    <w:p w14:paraId="510F123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06F2B9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750337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71.D</w:t>
      </w:r>
    </w:p>
    <w:p w14:paraId="3B55F20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根据公式：概率</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满足条件的情况数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总的情况数</m:t>
            </m:r>
            <m:ctrlPr>
              <w:rPr>
                <w:rFonts w:ascii="DejaVu Math TeX Gyre" w:hAnsi="DejaVu Math TeX Gyre" w:cstheme="minorEastAsia"/>
                <w:i/>
                <w:iCs w:val="0"/>
                <w:caps w:val="0"/>
                <w:color w:val="000000"/>
                <w:spacing w:val="0"/>
                <w:kern w:val="0"/>
                <w:sz w:val="21"/>
                <w:szCs w:val="21"/>
                <w:shd w:val="clear" w:fill="FFFFFF"/>
                <w:lang w:val="en-US"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；根据题意可知：</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只有</m:t>
            </m:r>
            <m:r>
              <m:rPr/>
              <w:rPr>
                <w:rFonts w:hint="default" w:ascii="DejaVu Math TeX Gyre" w:hAnsi="DejaVu Math TeX Gyre" w:cstheme="minorEastAsia"/>
                <w:caps w:val="0"/>
                <w:color w:val="000000"/>
                <w:spacing w:val="0"/>
                <w:kern w:val="0"/>
                <w:sz w:val="21"/>
                <w:szCs w:val="21"/>
                <w:shd w:val="clear" w:fill="FFFFFF"/>
                <w:lang w:val="en-US" w:eastAsia="zh-CN" w:bidi="ar"/>
              </w:rPr>
              <m:t>1</m:t>
            </m:r>
            <m:r>
              <m:rPr/>
              <w:rPr>
                <w:rFonts w:hint="eastAsia" w:ascii="DejaVu Math TeX Gyre" w:hAnsi="DejaVu Math TeX Gyre" w:cstheme="minorEastAsia"/>
                <w:caps w:val="0"/>
                <w:color w:val="000000"/>
                <w:spacing w:val="0"/>
                <w:kern w:val="0"/>
                <w:sz w:val="21"/>
                <w:szCs w:val="21"/>
                <w:shd w:val="clear" w:fill="FFFFFF"/>
                <w:lang w:val="en-US" w:eastAsia="zh-CN" w:bidi="ar"/>
              </w:rPr>
              <m:t>人被选中的情况数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总的情况数</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m:t>
            </m:r>
            <m:r>
              <m:rPr/>
              <w:rPr>
                <w:rFonts w:hint="eastAsia" w:ascii="DejaVu Math TeX Gyre" w:hAnsi="DejaVu Math TeX Gyre" w:cstheme="minorEastAsia"/>
                <w:caps w:val="0"/>
                <w:color w:val="000000"/>
                <w:spacing w:val="0"/>
                <w:kern w:val="0"/>
                <w:sz w:val="21"/>
                <w:szCs w:val="21"/>
                <w:shd w:val="clear" w:fill="FFFFFF"/>
                <w:lang w:val="en-US" w:eastAsia="zh-CN" w:bidi="ar"/>
              </w:rPr>
              <m:t>人均被选中的情况数</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总的情况数</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，即只有1人被选中的情况数=2人均被选中的情况数×30。</w:t>
      </w:r>
    </w:p>
    <w:p w14:paraId="658255D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方法一：</w:t>
      </w:r>
    </w:p>
    <w:p w14:paraId="3D1A505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设该单位有职工n人，根据题意可知：n＞3。张立和李磊中只有1人被选中，需先从2人中选择1人，再从剩余的职工中选择2人，满足条件的情况数为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i/>
                <w:iCs w:val="0"/>
                <w:caps w:val="0"/>
                <w:color w:val="000000"/>
                <w:spacing w:val="0"/>
                <w:kern w:val="0"/>
                <w:sz w:val="21"/>
                <w:szCs w:val="21"/>
                <w:shd w:val="clear" w:fill="FFFFFF"/>
                <w:lang w:val="en-US" w:bidi="ar"/>
              </w:rPr>
            </m:ctrlPr>
          </m:sup>
        </m:sSubSup>
        <m: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eastAsia" w:ascii="DejaVu Math TeX Gyre" w:hAnsi="DejaVu Math TeX Gyre" w:cs="DejaVu Math TeX Gyre"/>
                <w:caps w:val="0"/>
                <w:color w:val="000000"/>
                <w:spacing w:val="0"/>
                <w:kern w:val="0"/>
                <w:sz w:val="21"/>
                <w:szCs w:val="21"/>
                <w:shd w:val="clear" w:fill="FFFFFF"/>
                <w:lang w:val="en-US" w:eastAsia="zh-CN" w:bidi="ar"/>
              </w:rPr>
              <m:t>n-2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=2×</m:t>
        </m:r>
        <m:f>
          <m:fPr>
            <m:ctrlPr>
              <m:r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fPr>
          <m:num>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n−2</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(n−3)</m:t>
            </m:r>
            <m:ctrlPr>
              <m:r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m:r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=(n−2)×(n−3)</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；张立和李磊2人均被选中，需要从剩余的职工中再选择1人，满足条件的情况数为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p>
        </m:sSubSup>
        <m: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n−2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=n−2</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。可列式：（n−2）×（n−3）=（n−2）×30，解得n=33人。</w:t>
      </w:r>
    </w:p>
    <w:p w14:paraId="03EB4C2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方法二：</w:t>
      </w:r>
    </w:p>
    <w:p w14:paraId="69AAC28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根据题干信息代入排除。</w:t>
      </w:r>
    </w:p>
    <w:p w14:paraId="713FBA6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代入A项：若该单位有职工15人，张立和李磊中只有1人被选中，满足条件的情况数为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15</m:t>
            </m:r>
            <m:r>
              <m:rPr/>
              <w:rPr>
                <w:rFonts w:hint="eastAsia"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=2×</m:t>
        </m:r>
        <m:f>
          <m:fP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13</m:t>
            </m:r>
            <m:r>
              <m:rPr>
                <m:sty m:val="p"/>
              </m:rPr>
              <w:rPr>
                <w:rFonts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12</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2</m:t>
            </m:r>
            <m:r>
              <m:rPr/>
              <w:rPr>
                <w:rFonts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=13×12</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；张立和李磊均被选中，满足条件的情况数为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15</m:t>
            </m:r>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m:t>
        </m:r>
        <m:sSubSup>
          <m:sSubSupPr>
            <m:ctrlPr>
              <m:rPr/>
              <w:rPr>
                <w:rFonts w:hint="default" w:ascii="DejaVu Math TeX Gyre" w:hAnsi="DejaVu Math TeX Gyre" w:cs="DejaVu Math TeX Gyre"/>
                <w:i/>
                <w:caps w:val="0"/>
                <w:color w:val="000000"/>
                <w:spacing w:val="0"/>
                <w:kern w:val="0"/>
                <w:sz w:val="21"/>
                <w:szCs w:val="21"/>
                <w:shd w:val="clear" w:fill="FFFFFF"/>
                <w:lang w:val="en-US" w:eastAsia="zh-CN"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m:rPr/>
              <w:rPr>
                <w:rFonts w:hint="default" w:ascii="DejaVu Math TeX Gyre" w:hAnsi="DejaVu Math TeX Gyre" w:cs="DejaVu Math TeX Gyre"/>
                <w:i/>
                <w:caps w:val="0"/>
                <w:color w:val="000000"/>
                <w:spacing w:val="0"/>
                <w:kern w:val="0"/>
                <w:sz w:val="21"/>
                <w:szCs w:val="21"/>
                <w:shd w:val="clear" w:fill="FFFFFF"/>
                <w:lang w:val="en-US" w:eastAsia="zh-CN"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13</m:t>
            </m:r>
            <m:ctrlPr>
              <m:rPr/>
              <w:rPr>
                <w:rFonts w:hint="default" w:ascii="DejaVu Math TeX Gyre" w:hAnsi="DejaVu Math TeX Gyre" w:cs="DejaVu Math TeX Gyre"/>
                <w:i/>
                <w:caps w:val="0"/>
                <w:color w:val="000000"/>
                <w:spacing w:val="0"/>
                <w:kern w:val="0"/>
                <w:sz w:val="21"/>
                <w:szCs w:val="21"/>
                <w:shd w:val="clear" w:fill="FFFFFF"/>
                <w:lang w:val="en-US" w:eastAsia="zh-CN"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i/>
                <w:caps w:val="0"/>
                <w:color w:val="000000"/>
                <w:spacing w:val="0"/>
                <w:kern w:val="0"/>
                <w:sz w:val="21"/>
                <w:szCs w:val="21"/>
                <w:shd w:val="clear" w:fill="FFFFFF"/>
                <w:lang w:val="en-US" w:eastAsia="zh-CN"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=13</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。可验证：</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13</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12</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13</m:t>
            </m:r>
            <m:ctrlPr>
              <w:rPr>
                <w:rFonts w:ascii="DejaVu Math TeX Gyre" w:hAnsi="DejaVu Math TeX Gyre" w:cstheme="minorEastAsia"/>
                <w:i/>
                <w:iCs w:val="0"/>
                <w:caps w:val="0"/>
                <w:color w:val="000000"/>
                <w:spacing w:val="0"/>
                <w:kern w:val="0"/>
                <w:sz w:val="21"/>
                <w:szCs w:val="21"/>
                <w:shd w:val="clear" w:fill="FFFFFF"/>
                <w:lang w:val="en-US" w:bidi="ar"/>
              </w:rPr>
            </m:ctrlPr>
          </m:den>
        </m:f>
        <m: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，错误；</w:t>
      </w:r>
    </w:p>
    <w:p w14:paraId="10B28D9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代入B项：若该单位有职工17人，张立和李磊中只有1人被选中，满足条件的情况数为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17</m:t>
            </m:r>
            <m:r>
              <m:rPr/>
              <w:rPr>
                <w:rFonts w:hint="eastAsia"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=2×</m:t>
        </m:r>
        <m:f>
          <m:fP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15</m:t>
            </m:r>
            <m:r>
              <m:rPr>
                <m:sty m:val="p"/>
              </m:rPr>
              <w:rPr>
                <w:rFonts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14</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2</m:t>
            </m:r>
            <m:r>
              <m:rPr/>
              <w:rPr>
                <w:rFonts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=15×14</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；张立和李磊均被选中，满足条件的情况数为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17−2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m:t>
        </m:r>
        <m:sSubSup>
          <m:sSubSupPr>
            <m:ctrlPr>
              <w:rPr>
                <w:rFonts w:hint="default" w:ascii="DejaVu Math TeX Gyre" w:hAnsi="DejaVu Math TeX Gyre" w:cs="DejaVu Math TeX Gyre"/>
                <w:i/>
                <w:caps w:val="0"/>
                <w:color w:val="000000"/>
                <w:spacing w:val="0"/>
                <w:kern w:val="0"/>
                <w:sz w:val="21"/>
                <w:szCs w:val="21"/>
                <w:shd w:val="clear" w:fill="FFFFFF"/>
                <w:lang w:val="en-US" w:eastAsia="zh-CN"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15</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=15</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。可验证：</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15</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14</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15</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，错误；</w:t>
      </w:r>
    </w:p>
    <w:p w14:paraId="397E90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代入C项：若该单位有职工29人，张立和李磊中只有1人被选中，满足条件的情况数为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29</m:t>
            </m:r>
            <m:r>
              <m:rPr/>
              <w:rPr>
                <w:rFonts w:hint="eastAsia"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=2×</m:t>
        </m:r>
        <m:f>
          <m:fP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27</m:t>
            </m:r>
            <m:r>
              <m:rPr>
                <m:sty m:val="p"/>
              </m:rPr>
              <w:rPr>
                <w:rFonts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26</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2</m:t>
            </m:r>
            <m:r>
              <m:rPr/>
              <w:rPr>
                <w:rFonts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=27×26</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；张立和李磊均被选中，满足条件的情况数为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29</m:t>
            </m:r>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m:t>
        </m:r>
        <m:sSubSup>
          <m:sSubSupPr>
            <m:ctrlPr>
              <w:rPr>
                <w:rFonts w:hint="default" w:ascii="DejaVu Math TeX Gyre" w:hAnsi="DejaVu Math TeX Gyre" w:cs="DejaVu Math TeX Gyre"/>
                <w:i/>
                <w:caps w:val="0"/>
                <w:color w:val="000000"/>
                <w:spacing w:val="0"/>
                <w:kern w:val="0"/>
                <w:sz w:val="21"/>
                <w:szCs w:val="21"/>
                <w:shd w:val="clear" w:fill="FFFFFF"/>
                <w:lang w:val="en-US" w:eastAsia="zh-CN"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27</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=27</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。可验证：</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27</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26</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27</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，错误；</w:t>
      </w:r>
    </w:p>
    <w:p w14:paraId="270AB3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排除A、B、C三项，选择D项。</w:t>
      </w:r>
    </w:p>
    <w:p w14:paraId="2E51B2D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验证D项：若该单位有职工33人，张立和李磊中只有1人被选中，满足条件的情况数为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33</m:t>
            </m:r>
            <m:r>
              <m:rPr/>
              <w:rPr>
                <w:rFonts w:hint="eastAsia"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=2×</m:t>
        </m:r>
        <m:f>
          <m:fP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31</m:t>
            </m:r>
            <m:r>
              <m:rPr>
                <m:sty m:val="p"/>
              </m:rPr>
              <w:rPr>
                <w:rFonts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30</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2</m:t>
            </m:r>
            <m:r>
              <m:rPr/>
              <w:rPr>
                <w:rFonts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=31×30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；张立和李磊均被选中，满足条件的情况数为</w:t>
      </w:r>
      <m:oMath>
        <m:sSubSup>
          <m:sSubSupPr>
            <m:ctrlPr>
              <w:rPr>
                <w:rFonts w:ascii="DejaVu Math TeX Gyre" w:hAnsi="DejaVu Math TeX Gyre" w:cstheme="minorEastAsia"/>
                <w:i/>
                <w:iCs w:val="0"/>
                <w:caps w:val="0"/>
                <w:color w:val="000000"/>
                <w:spacing w:val="0"/>
                <w:kern w:val="0"/>
                <w:sz w:val="21"/>
                <w:szCs w:val="21"/>
                <w:shd w:val="clear" w:fill="FFFFFF"/>
                <w:lang w:val="en-US" w:bidi="ar"/>
              </w:rPr>
            </m:ctrlPr>
          </m:sSubSupPr>
          <m:e>
            <m:r>
              <m:rPr/>
              <w:rPr>
                <w:rFonts w:hint="default" w:ascii="DejaVu Math TeX Gyre" w:hAnsi="DejaVu Math TeX Gyre" w:cstheme="minorEastAsia"/>
                <w:caps w:val="0"/>
                <w:color w:val="000000"/>
                <w:spacing w:val="0"/>
                <w:kern w:val="0"/>
                <w:sz w:val="21"/>
                <w:szCs w:val="21"/>
                <w:shd w:val="clear" w:fill="FFFFFF"/>
                <w:lang w:val="en-US" w:eastAsia="zh-CN" w:bidi="ar"/>
              </w:rPr>
              <m:t>C</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b>
          <m:sup>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bidi="ar"/>
          </w:rPr>
          <m:t>×</m:t>
        </m:r>
        <m:sSubSup>
          <m:sSubSupPr>
            <m:ctrlPr>
              <w:rPr>
                <w:rFonts w:hint="default" w:ascii="DejaVu Math TeX Gyre" w:hAnsi="DejaVu Math TeX Gyre" w:cs="DejaVu Math TeX Gyre"/>
                <w:i/>
                <w:iCs w:val="0"/>
                <w:caps w:val="0"/>
                <w:color w:val="000000"/>
                <w:spacing w:val="0"/>
                <w:kern w:val="0"/>
                <w:sz w:val="21"/>
                <w:szCs w:val="21"/>
                <w:shd w:val="clear" w:fill="FFFFFF"/>
                <w:lang w:val="en-US"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iCs w:val="0"/>
                <w:caps w:val="0"/>
                <w:color w:val="000000"/>
                <w:spacing w:val="0"/>
                <w:kern w:val="0"/>
                <w:sz w:val="21"/>
                <w:szCs w:val="21"/>
                <w:shd w:val="clear" w:fill="FFFFFF"/>
                <w:lang w:val="en-US"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33</m:t>
            </m:r>
            <m:r>
              <m:rPr/>
              <w:rPr>
                <w:rFonts w:hint="default" w:ascii="DejaVu Math TeX Gyre" w:hAnsi="DejaVu Math TeX Gyre" w:cs="DejaVu Math TeX Gyre"/>
                <w:caps w:val="0"/>
                <w:color w:val="000000"/>
                <w:spacing w:val="0"/>
                <w:kern w:val="0"/>
                <w:sz w:val="21"/>
                <w:szCs w:val="21"/>
                <w:shd w:val="clear" w:fill="FFFFFF"/>
                <w:lang w:val="en-US" w:eastAsia="zh-CN" w:bidi="ar"/>
              </w:rPr>
              <m:t>−2</m:t>
            </m:r>
            <m:ctrlPr>
              <w:rPr>
                <w:rFonts w:hint="default" w:ascii="DejaVu Math TeX Gyre" w:hAnsi="DejaVu Math TeX Gyre" w:cs="DejaVu Math TeX Gyre"/>
                <w:i/>
                <w:iCs w:val="0"/>
                <w:caps w:val="0"/>
                <w:color w:val="000000"/>
                <w:spacing w:val="0"/>
                <w:kern w:val="0"/>
                <w:sz w:val="21"/>
                <w:szCs w:val="21"/>
                <w:shd w:val="clear" w:fill="FFFFFF"/>
                <w:lang w:val="en-US"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iCs w:val="0"/>
                <w:caps w:val="0"/>
                <w:color w:val="000000"/>
                <w:spacing w:val="0"/>
                <w:kern w:val="0"/>
                <w:sz w:val="21"/>
                <w:szCs w:val="21"/>
                <w:shd w:val="clear" w:fill="FFFFFF"/>
                <w:lang w:val="en-US"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m:t>
        </m:r>
        <m:sSubSup>
          <m:sSubSupPr>
            <m:ctrlPr>
              <w:rPr>
                <w:rFonts w:hint="default" w:ascii="DejaVu Math TeX Gyre" w:hAnsi="DejaVu Math TeX Gyre" w:cs="DejaVu Math TeX Gyre"/>
                <w:i/>
                <w:caps w:val="0"/>
                <w:color w:val="000000"/>
                <w:spacing w:val="0"/>
                <w:kern w:val="0"/>
                <w:sz w:val="21"/>
                <w:szCs w:val="21"/>
                <w:shd w:val="clear" w:fill="FFFFFF"/>
                <w:lang w:val="en-US" w:eastAsia="zh-CN" w:bidi="ar"/>
              </w:rPr>
            </m:ctrlPr>
          </m:sSubSupPr>
          <m:e>
            <m:r>
              <m:rPr/>
              <w:rPr>
                <w:rFonts w:hint="default" w:ascii="DejaVu Math TeX Gyre" w:hAnsi="DejaVu Math TeX Gyre" w:cs="DejaVu Math TeX Gyre"/>
                <w:caps w:val="0"/>
                <w:color w:val="000000"/>
                <w:spacing w:val="0"/>
                <w:kern w:val="0"/>
                <w:sz w:val="21"/>
                <w:szCs w:val="21"/>
                <w:shd w:val="clear" w:fill="FFFFFF"/>
                <w:lang w:val="en-US" w:eastAsia="zh-CN" w:bidi="ar"/>
              </w:rPr>
              <m:t>C</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e>
          <m:sub>
            <m:r>
              <m:rPr/>
              <w:rPr>
                <w:rFonts w:hint="default" w:ascii="DejaVu Math TeX Gyre" w:hAnsi="DejaVu Math TeX Gyre" w:cs="DejaVu Math TeX Gyre"/>
                <w:caps w:val="0"/>
                <w:color w:val="000000"/>
                <w:spacing w:val="0"/>
                <w:kern w:val="0"/>
                <w:sz w:val="21"/>
                <w:szCs w:val="21"/>
                <w:shd w:val="clear" w:fill="FFFFFF"/>
                <w:lang w:val="en-US" w:eastAsia="zh-CN" w:bidi="ar"/>
              </w:rPr>
              <m:t>31</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sub>
          <m:sup>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w:rPr>
                <w:rFonts w:hint="default" w:ascii="DejaVu Math TeX Gyre" w:hAnsi="DejaVu Math TeX Gyre" w:cs="DejaVu Math TeX Gyre"/>
                <w:i/>
                <w:caps w:val="0"/>
                <w:color w:val="000000"/>
                <w:spacing w:val="0"/>
                <w:kern w:val="0"/>
                <w:sz w:val="21"/>
                <w:szCs w:val="21"/>
                <w:shd w:val="clear" w:fill="FFFFFF"/>
                <w:lang w:val="en-US" w:eastAsia="zh-CN" w:bidi="ar"/>
              </w:rPr>
            </m:ctrlPr>
          </m:sup>
        </m:sSubSup>
        <m:r>
          <m:rPr/>
          <w:rPr>
            <w:rFonts w:hint="default" w:ascii="DejaVu Math TeX Gyre" w:hAnsi="DejaVu Math TeX Gyre" w:cs="DejaVu Math TeX Gyre"/>
            <w:caps w:val="0"/>
            <w:color w:val="000000"/>
            <w:spacing w:val="0"/>
            <w:kern w:val="0"/>
            <w:sz w:val="21"/>
            <w:szCs w:val="21"/>
            <w:shd w:val="clear" w:fill="FFFFFF"/>
            <w:lang w:val="en-US" w:eastAsia="zh-CN" w:bidi="ar"/>
          </w:rPr>
          <m:t>=31</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。可验证：</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31</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30</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31</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30</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，正确。</w:t>
      </w:r>
    </w:p>
    <w:p w14:paraId="5932D7E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9B322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72.D</w:t>
      </w:r>
    </w:p>
    <w:p w14:paraId="4CF2ED0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根据题意，赋值A工程的工程总量为60，B工程为45，C工程为90，则甲、乙两队完成A、B、C三个工程的工作效率如下：</w:t>
      </w:r>
    </w:p>
    <w:p w14:paraId="033C9869">
      <w:pPr>
        <w:keepNext w:val="0"/>
        <w:keepLines w:val="0"/>
        <w:widowControl/>
        <w:suppressLineNumbers w:val="0"/>
        <w:jc w:val="left"/>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ascii="宋体" w:hAnsi="宋体" w:eastAsia="宋体" w:cs="宋体"/>
          <w:kern w:val="0"/>
          <w:sz w:val="24"/>
          <w:szCs w:val="24"/>
          <w:lang w:val="en-US" w:eastAsia="zh-CN" w:bidi="ar"/>
        </w:rPr>
        <w:drawing>
          <wp:inline distT="0" distB="0" distL="114300" distR="114300">
            <wp:extent cx="3228975" cy="1000125"/>
            <wp:effectExtent l="0" t="0" r="22225" b="1587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6"/>
                    <a:stretch>
                      <a:fillRect/>
                    </a:stretch>
                  </pic:blipFill>
                  <pic:spPr>
                    <a:xfrm>
                      <a:off x="0" y="0"/>
                      <a:ext cx="3228975" cy="1000125"/>
                    </a:xfrm>
                    <a:prstGeom prst="rect">
                      <a:avLst/>
                    </a:prstGeom>
                    <a:noFill/>
                    <a:ln w="9525">
                      <a:noFill/>
                    </a:ln>
                  </pic:spPr>
                </pic:pic>
              </a:graphicData>
            </a:graphic>
          </wp:inline>
        </w:drawing>
      </w:r>
    </w:p>
    <w:p w14:paraId="06362E8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要想完成这3个工程的时间尽量少，需要让甲、乙两队优先完成各自擅长的工程。对比发现，甲队更擅长C工程，乙队更擅长B工程。则甲队优先完成C工程所需时间为10天，同时乙队完成B工程需要9天，此时乙队可再独自做10-9=1天A工程。甲队完成C工程后，两队再共同完成A工程，还需</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60−5</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6+5</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=5</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天，则两队合作完成这3个工程至少需要10+5=15天。</w:t>
      </w:r>
    </w:p>
    <w:p w14:paraId="52A64F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09BCBDE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0AEC6B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73.A</w:t>
      </w:r>
    </w:p>
    <w:p w14:paraId="054F505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设得分不低于90的有n个人。根据题意“每人得分都是0~100之间的整数且互不相同”，则分数不低于90的人数最多为90~100分各1人，即；总分数为n个整数之和，即总分数＝93.8n为整数，则n只能为5或10。</w:t>
      </w:r>
    </w:p>
    <w:p w14:paraId="5F4662D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若n＝10，则前十名的总分数为93.8×10＝938分。因分数为互不相同的整数，则前十名总分最低为90+91+92+93+94+95+96+97+98+99＝945&gt;938，n＝10不成立，则n＝5，排除C、D两项。</w:t>
      </w:r>
    </w:p>
    <w:p w14:paraId="048873E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n＝5，则前五名总分数为93.8×5＝469分。问“排名最低可能是第几名”，代入B项，92分为第5名，则前五名总分数最低为92+93+94+95+96＝470&gt;469，不成立，排除。</w:t>
      </w:r>
    </w:p>
    <w:p w14:paraId="3A5D01A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29477E3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5BA1D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74.B</w:t>
      </w:r>
    </w:p>
    <w:p w14:paraId="3B017F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场地要扩展成长方形且面积增加最少，需以梯形的最长底边为长方形的长，梯形的高为长方形的宽，扩展后的场地EFCD如下图所示。在梯形ABCD中，</w:t>
      </w:r>
      <m:oMath>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AOB</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DOC</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AB</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CD</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OA</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OD</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m:rPr/>
              <w:rPr>
                <w:rFonts w:hint="default" w:ascii="DejaVu Math TeX Gyre" w:hAnsi="DejaVu Math TeX Gyre" w:cstheme="minorEastAsia"/>
                <w:i/>
                <w:iCs w:val="0"/>
                <w:caps w:val="0"/>
                <w:color w:val="000000"/>
                <w:spacing w:val="0"/>
                <w:kern w:val="0"/>
                <w:sz w:val="21"/>
                <w:szCs w:val="21"/>
                <w:shd w:val="clear" w:fill="FFFFFF"/>
                <w:lang w:val="en-US" w:eastAsia="zh-CN"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，赋值</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AB=3</w:t>
      </w:r>
      <w:r>
        <w:rPr>
          <w:rFonts w:hint="default" w:asciiTheme="minorEastAsia" w:hAnsiTheme="minorEastAsia" w:cstheme="minorEastAsia"/>
          <w:i w:val="0"/>
          <w:iCs w:val="0"/>
          <w:caps w:val="0"/>
          <w:color w:val="000000"/>
          <w:spacing w:val="0"/>
          <w:kern w:val="0"/>
          <w:sz w:val="21"/>
          <w:szCs w:val="21"/>
          <w:shd w:val="clear" w:fill="FFFFFF"/>
          <w:lang w:val="en-US" w:eastAsia="zh-CN" w:bidi="ar"/>
        </w:rPr>
        <w:t>，</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CD=5</w:t>
      </w:r>
      <w:r>
        <w:rPr>
          <w:rFonts w:hint="default" w:asciiTheme="minorEastAsia" w:hAnsiTheme="minorEastAsia" w:cstheme="minorEastAsia"/>
          <w:i w:val="0"/>
          <w:iCs w:val="0"/>
          <w:caps w:val="0"/>
          <w:color w:val="000000"/>
          <w:spacing w:val="0"/>
          <w:kern w:val="0"/>
          <w:sz w:val="21"/>
          <w:szCs w:val="21"/>
          <w:shd w:val="clear" w:fill="FFFFFF"/>
          <w:lang w:val="en-US" w:eastAsia="zh-CN" w:bidi="ar"/>
        </w:rPr>
        <w:t>，设梯形的高为</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h</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，则</w:t>
      </w:r>
      <m:oMath>
        <m:sSub>
          <m:sSubPr>
            <m:ctrlPr>
              <w:rPr>
                <w:rFonts w:ascii="DejaVu Math TeX Gyre" w:hAnsi="DejaVu Math TeX Gyre" w:cstheme="minorEastAsia"/>
                <w:i/>
                <w:iCs w:val="0"/>
                <w:caps w:val="0"/>
                <w:color w:val="000000"/>
                <w:spacing w:val="0"/>
                <w:kern w:val="0"/>
                <w:sz w:val="21"/>
                <w:szCs w:val="21"/>
                <w:shd w:val="clear" w:fill="FFFFFF"/>
                <w:lang w:val="en-US" w:bidi="ar"/>
              </w:rPr>
            </m:ctrlPr>
          </m:sSubPr>
          <m:e>
            <m:r>
              <m:rPr/>
              <w:rPr>
                <w:rFonts w:hint="default" w:ascii="DejaVu Math TeX Gyre" w:hAnsi="DejaVu Math TeX Gyre" w:cstheme="minorEastAsia"/>
                <w:caps w:val="0"/>
                <w:color w:val="000000"/>
                <w:spacing w:val="0"/>
                <w:kern w:val="0"/>
                <w:sz w:val="21"/>
                <w:szCs w:val="21"/>
                <w:shd w:val="clear" w:fill="FFFFFF"/>
                <w:lang w:val="en-US" w:eastAsia="zh-CN" w:bidi="ar"/>
              </w:rPr>
              <m:t>S</m:t>
            </m:r>
            <m:ctrlPr>
              <w:rPr>
                <w:rFonts w:ascii="DejaVu Math TeX Gyre" w:hAnsi="DejaVu Math TeX Gyre" w:cstheme="minorEastAsia"/>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梯</m:t>
            </m:r>
            <m:r>
              <m:rPr/>
              <w:rPr>
                <w:rFonts w:hint="default" w:ascii="DejaVu Math TeX Gyre" w:hAnsi="DejaVu Math TeX Gyre" w:cstheme="minorEastAsia"/>
                <w:caps w:val="0"/>
                <w:color w:val="000000"/>
                <w:spacing w:val="0"/>
                <w:kern w:val="0"/>
                <w:sz w:val="21"/>
                <w:szCs w:val="21"/>
                <w:shd w:val="clear" w:fill="FFFFFF"/>
                <w:lang w:val="en-US" w:eastAsia="zh-CN" w:bidi="ar"/>
              </w:rPr>
              <m:t>ABCD</m:t>
            </m:r>
            <m:ctrlPr>
              <w:rPr>
                <w:rFonts w:ascii="DejaVu Math TeX Gyre" w:hAnsi="DejaVu Math TeX Gyre" w:cstheme="minorEastAsia"/>
                <w:i/>
                <w:iCs w:val="0"/>
                <w:caps w:val="0"/>
                <w:color w:val="000000"/>
                <w:spacing w:val="0"/>
                <w:kern w:val="0"/>
                <w:sz w:val="21"/>
                <w:szCs w:val="21"/>
                <w:shd w:val="clear" w:fill="FFFFFF"/>
                <w:lang w:val="en-US" w:bidi="ar"/>
              </w:rPr>
            </m:ctrlPr>
          </m:sub>
        </m:sSub>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i w:val="0"/>
                <w:iCs/>
                <w:caps w:val="0"/>
                <w:color w:val="000000"/>
                <w:spacing w:val="0"/>
                <w:kern w:val="0"/>
                <w:sz w:val="21"/>
                <w:szCs w:val="21"/>
                <w:shd w:val="clear" w:fill="FFFFFF"/>
                <w:lang w:val="en-US" w:eastAsia="zh-CN"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3+5</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）h</m:t>
            </m:r>
            <m:ctrlPr>
              <m:rPr/>
              <w:rPr>
                <w:rFonts w:hint="default" w:ascii="DejaVu Math TeX Gyre" w:hAnsi="DejaVu Math TeX Gyre" w:cstheme="minorEastAsia"/>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theme="minorEastAsia"/>
            <w:caps w:val="0"/>
            <w:color w:val="000000"/>
            <w:spacing w:val="0"/>
            <w:kern w:val="0"/>
            <w:sz w:val="21"/>
            <w:szCs w:val="21"/>
            <w:shd w:val="clear" w:fill="FFFFFF"/>
            <w:lang w:val="en-US" w:eastAsia="zh-CN" w:bidi="ar"/>
          </w:rPr>
          <m:t>=4h</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。扩展后的长方形场地面积最小为</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5h</w:t>
      </w:r>
      <w:r>
        <w:rPr>
          <w:rFonts w:hint="default" w:asciiTheme="minorEastAsia" w:hAnsiTheme="minorEastAsia" w:cstheme="minorEastAsia"/>
          <w:i w:val="0"/>
          <w:iCs w:val="0"/>
          <w:caps w:val="0"/>
          <w:color w:val="000000"/>
          <w:spacing w:val="0"/>
          <w:kern w:val="0"/>
          <w:sz w:val="21"/>
          <w:szCs w:val="21"/>
          <w:shd w:val="clear" w:fill="FFFFFF"/>
          <w:lang w:val="en-US" w:eastAsia="zh-CN" w:bidi="ar"/>
        </w:rPr>
        <w:t>，扩展后场地面积比原来至少增加</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5h−4h</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4h</m:t>
            </m:r>
            <m:ctrlPr>
              <w:rPr>
                <w:rFonts w:ascii="DejaVu Math TeX Gyre" w:hAnsi="DejaVu Math TeX Gyre" w:cstheme="minorEastAsia"/>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=25%</m:t>
        </m:r>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w:t>
      </w:r>
    </w:p>
    <w:p w14:paraId="06BAB141">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419350" cy="2124075"/>
            <wp:effectExtent l="0" t="0" r="19050"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7"/>
                    <a:stretch>
                      <a:fillRect/>
                    </a:stretch>
                  </pic:blipFill>
                  <pic:spPr>
                    <a:xfrm>
                      <a:off x="0" y="0"/>
                      <a:ext cx="2419350" cy="2124075"/>
                    </a:xfrm>
                    <a:prstGeom prst="rect">
                      <a:avLst/>
                    </a:prstGeom>
                    <a:noFill/>
                    <a:ln w="9525">
                      <a:noFill/>
                    </a:ln>
                  </pic:spPr>
                </pic:pic>
              </a:graphicData>
            </a:graphic>
          </wp:inline>
        </w:drawing>
      </w:r>
    </w:p>
    <w:p w14:paraId="0E8F17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00B5F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75.C</w:t>
      </w:r>
    </w:p>
    <w:p w14:paraId="7483927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意可知，8月10日、20日，9月10日、20日，这4天中有2天既接访群众又参加工作例会，即这4天中仅有2天是周一。这4天中相邻2天间隔天数依次为10天、21天、10天，21天为7的倍数，则仅8月20日与9月10日的星期数相同，故8月20日与9月10日为周一，则9月3日为周一，9月1日为周六。</w:t>
      </w:r>
    </w:p>
    <w:p w14:paraId="2FF43B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7C8A0A88">
      <w:pPr>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br w:type="page"/>
      </w:r>
    </w:p>
    <w:p w14:paraId="7630D4B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lang w:val="en-US" w:eastAsia="zh-CN" w:bidi="ar"/>
        </w:rPr>
        <w:t>五.判断推理</w:t>
      </w:r>
    </w:p>
    <w:p w14:paraId="70A6A00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76.D</w:t>
      </w:r>
    </w:p>
    <w:p w14:paraId="5B95E8C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元素组成不同，且无明显属性规律，考虑数量规律。观察发现，题干每幅图形均分为2个部分，且其中一个部分有1个黑球，另一个部分有2个黑球，只有D项符合规律。</w:t>
      </w:r>
    </w:p>
    <w:p w14:paraId="5835F0A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6729C30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2A4450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77.A</w:t>
      </w:r>
    </w:p>
    <w:p w14:paraId="1638D6B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元素组成基本相同，优先考虑位置规律。题干图形出现十六宫格，可以优先考虑内外分开看。观察发现，题干图形中黑色三角形均存在三个顶点，其中外圈的两个顶点在外圈依次逆时针平移一格，内圈的顶点在内圈依次逆时针平移一格，故？处图形也应符合此规律，只有A项符合。</w:t>
      </w:r>
    </w:p>
    <w:p w14:paraId="62BF8A4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15000" cy="2552700"/>
            <wp:effectExtent l="0" t="0" r="0" b="1270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8"/>
                    <a:stretch>
                      <a:fillRect/>
                    </a:stretch>
                  </pic:blipFill>
                  <pic:spPr>
                    <a:xfrm>
                      <a:off x="0" y="0"/>
                      <a:ext cx="5715000" cy="2552700"/>
                    </a:xfrm>
                    <a:prstGeom prst="rect">
                      <a:avLst/>
                    </a:prstGeom>
                    <a:noFill/>
                    <a:ln w="9525">
                      <a:noFill/>
                    </a:ln>
                  </pic:spPr>
                </pic:pic>
              </a:graphicData>
            </a:graphic>
          </wp:inline>
        </w:drawing>
      </w:r>
    </w:p>
    <w:p w14:paraId="1A907B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78.B</w:t>
      </w:r>
    </w:p>
    <w:p w14:paraId="5F8177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元素组成不同，优先考虑属性规律。观察发现，题干图形均由2个图形组成，且出现等腰元素，考虑对称性，题干均由1个中心对称图形和1个轴对称图形构成，排除D项；继续观察发现，题干图形出现明显的多端点图形，考虑笔画数，题干第一组图形笔画数均为3，其中轴对称图形为一笔画，中心对称图形为两笔画，第二组前两个图形笔画数均为3，其中中心对称图形为一笔画，轴对称图形为两笔画，故？处图形的笔画数应为3，且中心对称图形为一笔画，轴对称图形为两笔画，只有B项符合。</w:t>
      </w:r>
    </w:p>
    <w:p w14:paraId="47157DD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33B671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20C3D7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79.C</w:t>
      </w:r>
    </w:p>
    <w:p w14:paraId="78E74D9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元素组成相似，优先考虑样式规律。观察发现，九宫格每行图形轮廓和分割区域相同，优先考虑黑白运算。第一行图形的运算规律为：白+黑=白，白+白=白，黑+白=白，黑+黑=黑；经验证，第二行图形符合此规律；第三行图形应用此规律，只有C项符合。</w:t>
      </w:r>
    </w:p>
    <w:p w14:paraId="1418BE5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667F585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D0C219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80.B</w:t>
      </w:r>
    </w:p>
    <w:p w14:paraId="24FFD37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本题考查截面图。根据平面公理“过不在一条直线上的三点，有且只有一个平面”可以得出，经过P、Q、R三点可以确定唯一的切面（即截面），即为B项，如下图所示：</w:t>
      </w:r>
    </w:p>
    <w:p w14:paraId="65B99AB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457450" cy="1990725"/>
            <wp:effectExtent l="0" t="0" r="6350" b="1587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9"/>
                    <a:stretch>
                      <a:fillRect/>
                    </a:stretch>
                  </pic:blipFill>
                  <pic:spPr>
                    <a:xfrm>
                      <a:off x="0" y="0"/>
                      <a:ext cx="2457450" cy="1990725"/>
                    </a:xfrm>
                    <a:prstGeom prst="rect">
                      <a:avLst/>
                    </a:prstGeom>
                    <a:noFill/>
                    <a:ln w="9525">
                      <a:noFill/>
                    </a:ln>
                  </pic:spPr>
                </pic:pic>
              </a:graphicData>
            </a:graphic>
          </wp:inline>
        </w:drawing>
      </w:r>
    </w:p>
    <w:p w14:paraId="35A5845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C959B3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81.D</w:t>
      </w:r>
    </w:p>
    <w:p w14:paraId="1D203D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将题干2个正方体的面标上字母序号，并在立体图形和外表面展开图的“T”字形面（面e和面g）中以“T”字形中线端点为起始点，顺时针描边标号，如下图所示。</w:t>
      </w:r>
    </w:p>
    <w:p w14:paraId="58A79ED4">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466975" cy="1609725"/>
            <wp:effectExtent l="0" t="0" r="22225" b="1587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0"/>
                    <a:stretch>
                      <a:fillRect/>
                    </a:stretch>
                  </pic:blipFill>
                  <pic:spPr>
                    <a:xfrm>
                      <a:off x="0" y="0"/>
                      <a:ext cx="2466975" cy="1609725"/>
                    </a:xfrm>
                    <a:prstGeom prst="rect">
                      <a:avLst/>
                    </a:prstGeom>
                    <a:noFill/>
                    <a:ln w="9525">
                      <a:noFill/>
                    </a:ln>
                  </pic:spPr>
                </pic:pic>
              </a:graphicData>
            </a:graphic>
          </wp:inline>
        </w:drawing>
      </w:r>
    </w:p>
    <w:p w14:paraId="6D9C79E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15000" cy="1666875"/>
            <wp:effectExtent l="0" t="0" r="0" b="952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1"/>
                    <a:stretch>
                      <a:fillRect/>
                    </a:stretch>
                  </pic:blipFill>
                  <pic:spPr>
                    <a:xfrm>
                      <a:off x="0" y="0"/>
                      <a:ext cx="5715000" cy="1666875"/>
                    </a:xfrm>
                    <a:prstGeom prst="rect">
                      <a:avLst/>
                    </a:prstGeom>
                    <a:noFill/>
                    <a:ln w="9525">
                      <a:noFill/>
                    </a:ln>
                  </pic:spPr>
                </pic:pic>
              </a:graphicData>
            </a:graphic>
          </wp:inline>
        </w:drawing>
      </w:r>
    </w:p>
    <w:p w14:paraId="4CCC385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图①中，标出“T字形”面中对应的边2和边3后发现，二者与题干右侧正方体中面g的边2和边3对应一致，故图①可能是题干右侧正方体的外表面展开图；</w:t>
      </w:r>
    </w:p>
    <w:p w14:paraId="3C4184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图②中，标出“T字形”面中对应的边2和边3后发现，二者与题干右侧正方体中面g的边2和边3对应不一致，故图②不可能是题干右侧正方体的外表面展开图，标出“T字形”面中对应的边4后发现，与题干左侧正方体中面e的边4对应不一致，故图②不可能是题干左侧正方体的外表面展开图；</w:t>
      </w:r>
    </w:p>
    <w:p w14:paraId="7F1E601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DEFD52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图③中，标出“T字形”面中对应的边4后发现，该公共边与题干左侧正方体中面e的边4对应一致，故图③可能是题干左侧正方体的外表面展开图；</w:t>
      </w:r>
    </w:p>
    <w:p w14:paraId="54AAF5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图④中，标出“T字形”面中对应的边2和边3后发现，二者与题干右侧正方体中面g的边2和边3对应不一致，故图④不可能是题干右侧正方体的外表面展开图，标出“T字形”面中对应的边4后发现，与题干左侧正方体中面e的边4对应不一致，故图④不可能是题干左侧正方体的外表面展开图。</w:t>
      </w:r>
    </w:p>
    <w:p w14:paraId="46F2355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综上，2个正方体的外表面展开图可能是①和③，对应D项。</w:t>
      </w:r>
    </w:p>
    <w:p w14:paraId="1603DC6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3E3268B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402AB7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82.C</w:t>
      </w:r>
    </w:p>
    <w:p w14:paraId="72C9EE8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本题考查立体拼合。题干多面体可以由A、B、D三项中的立体图形拼合而成，具体拼合过程如下图所示：</w:t>
      </w:r>
    </w:p>
    <w:p w14:paraId="0D76912F">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715000" cy="2581275"/>
            <wp:effectExtent l="0" t="0" r="0" b="952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2"/>
                    <a:stretch>
                      <a:fillRect/>
                    </a:stretch>
                  </pic:blipFill>
                  <pic:spPr>
                    <a:xfrm>
                      <a:off x="0" y="0"/>
                      <a:ext cx="5715000" cy="2581275"/>
                    </a:xfrm>
                    <a:prstGeom prst="rect">
                      <a:avLst/>
                    </a:prstGeom>
                    <a:noFill/>
                    <a:ln w="9525">
                      <a:noFill/>
                    </a:ln>
                  </pic:spPr>
                </pic:pic>
              </a:graphicData>
            </a:graphic>
          </wp:inline>
        </w:drawing>
      </w:r>
    </w:p>
    <w:p w14:paraId="742C0E7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83.A</w:t>
      </w:r>
    </w:p>
    <w:p w14:paraId="35AC5AA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分组分类题目。元素组成相同，但整体看没有明显的位置规律。观察发现，题干每幅图中均有一个黑菱形和一个白菱形，且图①④⑤中的黑菱形和白菱形相交于线，图②③⑥中的黑菱形和白菱形不相交。故图①④⑤为一组，图②③⑥为一组。</w:t>
      </w:r>
    </w:p>
    <w:p w14:paraId="2F2A5BC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483F45E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E940F9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84.B</w:t>
      </w:r>
    </w:p>
    <w:p w14:paraId="68199E2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元素组成不同，且无明显属性规律，优先考虑数量规律。观察发现，题干每幅图中均存在一个黑色面和四个白色面，但根据面的数量无法分组分类，故考虑面的细化。再次观察发现，每幅图中均有1-2个白色面形状与黑色面形状相同，故考虑相同形状的面，图①②④中黑色面的形状与2个白色面形状一致，图③⑤⑥中黑色面的形状与1个白色面形状一致，故图①②④为一组，图③⑤⑥为一组。</w:t>
      </w:r>
    </w:p>
    <w:p w14:paraId="57F227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18D4F09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418F98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85.A</w:t>
      </w:r>
    </w:p>
    <w:p w14:paraId="21EE76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题干图形均由正六边形宫格及若干线条组成，且线条之间都存在一个十字交叉点，观察十字交叉点的位置，图①④⑤中十字交叉点位于白球外部，图②③⑥中十字交叉点位于白球内部，故图①④⑤为一组，图②③⑥为一组，只有A项符合。</w:t>
      </w:r>
    </w:p>
    <w:p w14:paraId="3EB973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594D035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CC60B0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86.C</w:t>
      </w:r>
    </w:p>
    <w:p w14:paraId="7BCB8D5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1EB8496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“用物理、化学或者物理与化学相结合的方法”、“将原矿中的有用矿物与伴生的无用固定物质（脉石）或有害矿物分开的过程”。</w:t>
      </w:r>
    </w:p>
    <w:p w14:paraId="56A14D3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036C37D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利用矿物颗粒电性的差别，属于物理方法，符合“用物理、化学或者物理与化学相结合的方法”，在高压电场中挑选出白钨矿、赤铁矿等（有用物质），通过电机分离除尘（伴生的无用固定物质），符合“将原矿中的有用矿物与伴生的无用固定物质（脉石）或有害矿物分开的过程”，符合定义，排除；</w:t>
      </w:r>
    </w:p>
    <w:p w14:paraId="52478A3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利用水枪和洗矿槽等设备清洗锡矿石，属于物理方法，符合“用物理、化学或者物理与化学相结合的方法”，将锡矿石中的泥土等杂质（伴生的无用固定物质）洗去，同时也可以将部分轻矿物冲走，实现锡石（有用矿物）初步富集，符合“将原矿中的有用矿物与伴生的无用固定物质（脉石）或有害矿物分开的过程”，符合定义，排除；</w:t>
      </w:r>
    </w:p>
    <w:p w14:paraId="5B1FD32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通过敲击、光照、观察皮壳等方法对开采的翡翠原石进行筛选，挑选优质原石，仅是对原石整体品质进行判断与挑选，不涉及对原石中的物质分开的过程，不符合“将原矿中的有用矿物与伴生的无用固定物质（脉石）或有害矿物分开的过程”，不符合定义，当选；</w:t>
      </w:r>
    </w:p>
    <w:p w14:paraId="6DA7501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将铜矿矿石破碎到一定的粒度后，属于物理方法，混以少量的食盐和煤粉隔氧加热，属于化学方法，符合“用物理、化学或者物理与化学相结合的方法”，矿石中的铜（有用矿物）便以金属状态析出，由此获得铜精矿，符合“将原矿中的有用矿物与伴生的无用固定物质（脉石）或有害矿物分开的过程”，符合定义，排除。</w:t>
      </w:r>
    </w:p>
    <w:p w14:paraId="523393A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本题为选非题，故正确答案为C。</w:t>
      </w:r>
    </w:p>
    <w:p w14:paraId="1851FDB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7D74BC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87.D</w:t>
      </w:r>
    </w:p>
    <w:p w14:paraId="63C54B2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6EBCC7C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“同行业竞争对手的威胁”、“潜在进入者的威胁”、“替代品的威胁”、“上游供应商的议价能力”、“下游购买者的议价能力”、“帮助企业了解其所处行业的竞争环境，以制定相应的竞争策略”。</w:t>
      </w:r>
    </w:p>
    <w:p w14:paraId="2C32483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29A8F60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康复机器人行业准入门槛高吗？需要强大的技术能力和创新能力吗？问题中的“准入门槛”、“技术能力和创新能力”直接关系到潜在企业能否进入康复机器人行业，符合波特五力模型中的“潜在进入者的威胁”，符合定义，排除；</w:t>
      </w:r>
    </w:p>
    <w:p w14:paraId="1A7E48A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F76CA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医院和康复中心患者规模如何？对于康复机器人的需求有多大？问题中的“医院”和“康复中心”是康复机器人的“下游购买者”，“患者规模”与“需求程度”会直接影响购买者采购时的“议价能力”，符合波特五力模型中的“下游购买者的议价能力”，符合定义，排除；</w:t>
      </w:r>
    </w:p>
    <w:p w14:paraId="3AFD062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与传统物理治疗等康复治疗方法相比，康复机器人有竞争力吗？问题中的“传统物理治疗”是康复机器人的“替代方案”，是在分析“替代品”的竞争力对行业的威胁，符合波特五力模型中的“替代品的威胁”，符合定义，排除；</w:t>
      </w:r>
    </w:p>
    <w:p w14:paraId="725DFD2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D项：康复机器人企业内部各部门之间的协同合作程度高吗？问题中的“企业内部各部门之间的协同合作程度”属于企业“内部管理”的范畴，不符合波特五力模型中的任何一个，不符合定义，当选。</w:t>
      </w:r>
    </w:p>
    <w:p w14:paraId="2D6BB0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本题为选非题，故正确答案为D。</w:t>
      </w:r>
    </w:p>
    <w:p w14:paraId="35531C3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AAE3DC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88.C</w:t>
      </w:r>
    </w:p>
    <w:p w14:paraId="33A55A5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4D919F7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假对：“同音或多义的字或词作形（音）此义彼的表达”、“构成形式上相对”；</w:t>
      </w:r>
    </w:p>
    <w:p w14:paraId="3B50AE5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谐音假对：“利用语音的相同或相近构成的假对”；</w:t>
      </w:r>
    </w:p>
    <w:p w14:paraId="6B25D78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衍义假对：“利用字或词的一形多义现象构成的假对”。</w:t>
      </w:r>
    </w:p>
    <w:p w14:paraId="2D4986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2C65EAD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A项：该句意思为，明月透过松林洒落斑驳的静影，清泉轻轻地在大石上叮咚流淌，“松”“石”二字均没有利用其一字多义的现象，不符合“利用字或词的一形多义现象构成的假对”，不符合定义，排除；</w:t>
      </w:r>
    </w:p>
    <w:p w14:paraId="24DB10B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B项：该句意思为，厨房里的仆人准备了鸡肉和黍米，年幼的孩子采摘了杨梅，“鸡”“杨”二字均没有利用其一字多义的现象，不符合“利用字或词的一形多义现象构成的假对”，不符合定义，排除；</w:t>
      </w:r>
    </w:p>
    <w:p w14:paraId="16668E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该句意思为，我本来就没有炼丹求仙的方术，又怎能避免成为白头老翁呢？其中“丹”字在这句诗中意为“依成方制成的颗粒状或粉末状的中药”，同时取其另外的含义“红色”与“白”对应，符合“利用字或词的一形多义现象构成的假对”，符合定义，当选；</w:t>
      </w:r>
    </w:p>
    <w:p w14:paraId="6393C0F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D项：该句意思为，枸杞树因为我才得以留存下来，鸡栖木啊，又能把你怎么样呢？“枸”“鸡”二字均没有利用其一字多义的现象，不符合“利用字或词的一形多义现象构成的假对”，不符合定义，排除。</w:t>
      </w:r>
    </w:p>
    <w:p w14:paraId="4082C7B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4863D22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C45725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89.C</w:t>
      </w:r>
    </w:p>
    <w:p w14:paraId="7613A0F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23ED77B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“药师应用药学专业知识”、“向公众（包括医护人员、患者及家属）提供直接的、负责任的、与药物使用有关的服务”、“提高药物治疗的安全性、有效性和经济性”。</w:t>
      </w:r>
    </w:p>
    <w:p w14:paraId="2131C5A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3B2D8B6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该项说的是药师与主治医生协商调整了患者的用药方案，并给予其相应的用药教育和指导，说明药师向患者直接提供了药物相关指导，符合“药师应用药学专业知识”、“向公众（包括医护人员、患者及家属）提供直接的、负责任的、与药物使用有关的服务”、“提高药物治疗的安全性、有效性和经济性”，符合定义，排除；</w:t>
      </w:r>
    </w:p>
    <w:p w14:paraId="418CC4B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503910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该项说的是药师在社区药房为长期服药的患者提供健康用药建议，说明药师用专业知识直接向患者提供健康用药建议，符合“药师应用药学专业知识”、“向公众（包括医护人员、患者及家属）提供直接的、负责任的、与药物使用有关的服务”、“提高药物治疗的安全性、有效性和经济性”，符合定义，排除；</w:t>
      </w:r>
    </w:p>
    <w:p w14:paraId="57AA1B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该项说的是药师给患者条码，患者扫码后会显示药物的使用医嘱，首先药师提供给患者的是条码，而非直接提供药物相关服务，不符合“药师应用药学专业知识”、“向公众（包括医护人员、患者及家属）提供直接的、负责任的、与药物使用有关的服务”，不符合定义，当选；</w:t>
      </w:r>
    </w:p>
    <w:p w14:paraId="0C52767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该项说的是药师审核某患者处方的合法性，评估病情与用药匹配度及疗程合理性，说明药师用专业知识直接向患者提供了用药匹配度的建议，能够提升药物的安全性和有效性，符合“药师应用药学专业知识”、“向公众（包括医护人员、患者及家属）提供直接的、负责任的、与药物使用有关的服务”、“提高药物治疗的安全性、有效性和经济性”，符合定义，排除。</w:t>
      </w:r>
    </w:p>
    <w:p w14:paraId="49FE49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本题为选非题，故正确答案为C。</w:t>
      </w:r>
    </w:p>
    <w:p w14:paraId="30775BB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3FC761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90.B</w:t>
      </w:r>
    </w:p>
    <w:p w14:paraId="585977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3C20D98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均变论：“支配各种地质过程的法则在地质历史上没有发生过变化”、“现在起作用的各种自然营力在漫长的地质过程中具有普遍的均一性”、“地球上生物的种与种之间有过渡关系，生物进化过程是极其漫长的”。</w:t>
      </w:r>
    </w:p>
    <w:p w14:paraId="18FC6AF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灾变论：“地球经常发生各种突如其来的、短暂的全球性灾难性变化，这些变化强烈地改变了地球的面貌”、“地球上生物的变化是反复多次灾变的结果”。</w:t>
      </w:r>
    </w:p>
    <w:p w14:paraId="791D2CB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1BE1C35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我们找不到开始的痕迹，也看不到结束的迹象”，体现了“支配各种地质过程的法则在地质历史上没有发生过变化”、“地球上生物的种与种之间有过渡关系，生物进化过程是极其漫长的”，符合“均变论”定义，不符合“灾变论”定义，排除；</w:t>
      </w:r>
    </w:p>
    <w:p w14:paraId="60660CF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地质记录是一部被鲜血和火焰写成的史诗”，“鲜血和火焰”隐喻的是灾难，体现了“地球经常发生各种突如其来的、短暂的全球性灾难性变化，这些变化强烈地改变了地球的面貌”，符合“灾变论”定义，当选；</w:t>
      </w:r>
    </w:p>
    <w:p w14:paraId="30FB219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现在是通往过去的一把钥匙”，体现了“支配各种地质过程的法则在地质历史上没有发生过变化”、“现在起作用的各种自然营力在漫长的地质过程中具有普遍的均一性”、“地球上生物的种与种之间有过渡关系，生物进化过程是极其漫长的”，符合“均变论”定义，不符合“灾变论”定义，排除；</w:t>
      </w:r>
    </w:p>
    <w:p w14:paraId="61E0561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D项：“自然界里没有飞跃”，体现了“地球上生物的种与种之间有过渡关系，生物进化过程是极其漫长的”，符合“均变论”定义，不符合“灾变论”定义，排除。</w:t>
      </w:r>
    </w:p>
    <w:p w14:paraId="7EE382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53A7A85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9B259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91.D</w:t>
      </w:r>
    </w:p>
    <w:p w14:paraId="5BFC257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6F024E3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相似律：“两种在性质、特征上相似的事物或属性可形成联想”；</w:t>
      </w:r>
    </w:p>
    <w:p w14:paraId="1627B4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88F3BE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对比律：“具有相反特点的事物或属性可形成联想”；</w:t>
      </w:r>
    </w:p>
    <w:p w14:paraId="5F4819A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接近律：“在空间与时间上接近的事物或属性可形成联想”。</w:t>
      </w:r>
    </w:p>
    <w:p w14:paraId="13B0B0B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5025DD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由树木想到森林，森林由树木组成，空间上接近，符合“在空间与时间上接近的事物或属性可形成联想”，符合“接近律”定义。由蓝天想到飞机，飞机在天空中飞，符合“在空间与时间上接近的事物或属性可形成联想”，符合“接近律”定义，二者均不符合“对比律”定义，说法错误，排除；</w:t>
      </w:r>
    </w:p>
    <w:p w14:paraId="037B17A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由狐狸想到狡猾，狐狸的特征是狡猾，符合“两种在性质、特征上相似的事物或属性可形成联想”，符合“相似律”定义。由电灯想到房间，电灯安装在房间里，空间接近，符合“在空间与时间上接近的事物或属性可形成联想”，符合“接近律”定义，不符合“相似律”定义，说法错误，排除；</w:t>
      </w:r>
    </w:p>
    <w:p w14:paraId="2CE4577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由钢铁想到坚强，钢铁性质坚硬，用来比喻坚强，符合“两种在性质、特征上相似的事物或属性可形成联想”，符合“相似律”定义，不符合“接近律”定义。由酷暑想到严寒，酷暑和严寒在温度上相反，符合“具有相反特点的事物或属性可形成联想”，符合“对比律”定义，说法错误，排除；</w:t>
      </w:r>
    </w:p>
    <w:p w14:paraId="7747FDF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由黑暗想到光明，黑暗与光明是相反概念，符合“具有相反特点的事物或属性可形成联想”，符合“对比律”定义。由花圃想到蝴蝶，花圃里有蝴蝶，空间接近，符合“在空间与时间上接近的事物或属性可形成联想”，符合“接近律”定义，说法正确，当选。</w:t>
      </w:r>
    </w:p>
    <w:p w14:paraId="76A75A4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798688B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169E6A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92.A</w:t>
      </w:r>
    </w:p>
    <w:p w14:paraId="35A10B1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33E9E3A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商品动销率：“在售的商品品种数与库存商品总品种数的比率”；</w:t>
      </w:r>
    </w:p>
    <w:p w14:paraId="26A29D6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商品库销比：“商品库存量与销售额的比率”；</w:t>
      </w:r>
    </w:p>
    <w:p w14:paraId="60FF977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商品滞销率：“滞销的商品品种数占库存商品总品种数的比率”；</w:t>
      </w:r>
    </w:p>
    <w:p w14:paraId="6761EB3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商品损耗率：“一定的保管条件下，某商品在储存保管期间”、“自然损耗量与商品在库总量的比例”。</w:t>
      </w:r>
    </w:p>
    <w:p w14:paraId="373A0C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266A64C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A项：根据商品动销率</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在售的商品品种数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库存商品总品种数</m:t>
            </m:r>
            <m:ctrlPr>
              <w:rPr>
                <w:rFonts w:ascii="DejaVu Math TeX Gyre" w:hAnsi="DejaVu Math TeX Gyre" w:cstheme="minorEastAsia"/>
                <w:i/>
                <w:iCs w:val="0"/>
                <w:caps w:val="0"/>
                <w:color w:val="000000"/>
                <w:spacing w:val="0"/>
                <w:kern w:val="0"/>
                <w:sz w:val="21"/>
                <w:szCs w:val="21"/>
                <w:shd w:val="clear" w:fill="FFFFFF"/>
                <w:lang w:val="en-US"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，若商品动销率超过100%，说明商品在售品种数高于库存商品总品种数，说法正确，当选；</w:t>
      </w:r>
    </w:p>
    <w:p w14:paraId="78D427E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B项：根据商品损耗率</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商品自然损耗量</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商品在库总量</m:t>
            </m:r>
            <m:ctrlPr>
              <w:rPr>
                <w:rFonts w:ascii="DejaVu Math TeX Gyre" w:hAnsi="DejaVu Math TeX Gyre" w:cstheme="minorEastAsia"/>
                <w:i/>
                <w:iCs w:val="0"/>
                <w:caps w:val="0"/>
                <w:color w:val="000000"/>
                <w:spacing w:val="0"/>
                <w:kern w:val="0"/>
                <w:sz w:val="21"/>
                <w:szCs w:val="21"/>
                <w:shd w:val="clear" w:fill="FFFFFF"/>
                <w:lang w:val="en-US"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，若商品损耗率高，表明商品自然损耗量相对升高或者商品在库总量相对降低，无法必然得到库存积压情况或销售态势情况，说法错误，排除；</w:t>
      </w:r>
    </w:p>
    <w:p w14:paraId="210E65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C项：根据商品滞销率</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滞销的商品品种数</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库存商品总品种数</m:t>
            </m:r>
            <m:ctrlPr>
              <w:rPr>
                <w:rFonts w:ascii="DejaVu Math TeX Gyre" w:hAnsi="DejaVu Math TeX Gyre" w:cstheme="minorEastAsia"/>
                <w:i/>
                <w:iCs w:val="0"/>
                <w:caps w:val="0"/>
                <w:color w:val="000000"/>
                <w:spacing w:val="0"/>
                <w:kern w:val="0"/>
                <w:sz w:val="21"/>
                <w:szCs w:val="21"/>
                <w:shd w:val="clear" w:fill="FFFFFF"/>
                <w:lang w:val="en-US"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，若库存商品数一定时，商品滞销率越高，说明滞销的“商品品种数”越多，而不是滞销的“商品”越多（可能仅指商品数量），说法错误，排除；</w:t>
      </w:r>
    </w:p>
    <w:p w14:paraId="6775CB5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D项：根据商品库销比</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i/>
                <w:iCs w:val="0"/>
                <w:caps w:val="0"/>
                <w:color w:val="000000"/>
                <w:spacing w:val="0"/>
                <w:kern w:val="0"/>
                <w:sz w:val="21"/>
                <w:szCs w:val="21"/>
                <w:shd w:val="clear" w:fill="FFFFFF"/>
                <w:lang w:val="en-US" w:bidi="ar"/>
              </w:rPr>
            </m:ctrlPr>
          </m:fPr>
          <m:num>
            <m:r>
              <m:rPr/>
              <w:rPr>
                <w:rFonts w:hint="eastAsia" w:ascii="DejaVu Math TeX Gyre" w:hAnsi="DejaVu Math TeX Gyre" w:cstheme="minorEastAsia"/>
                <w:caps w:val="0"/>
                <w:color w:val="000000"/>
                <w:spacing w:val="0"/>
                <w:kern w:val="0"/>
                <w:sz w:val="21"/>
                <w:szCs w:val="21"/>
                <w:shd w:val="clear" w:fill="FFFFFF"/>
                <w:lang w:val="en-US" w:eastAsia="zh-CN" w:bidi="ar"/>
              </w:rPr>
              <m:t>商品库存量</m:t>
            </m:r>
            <m:ctrlPr>
              <w:rPr>
                <w:rFonts w:ascii="DejaVu Math TeX Gyre" w:hAnsi="DejaVu Math TeX Gyre" w:cstheme="minorEastAsia"/>
                <w:i/>
                <w:iCs w:val="0"/>
                <w:caps w:val="0"/>
                <w:color w:val="000000"/>
                <w:spacing w:val="0"/>
                <w:kern w:val="0"/>
                <w:sz w:val="21"/>
                <w:szCs w:val="21"/>
                <w:shd w:val="clear" w:fill="FFFFFF"/>
                <w:lang w:val="en-US" w:bidi="ar"/>
              </w:rPr>
            </m:ctrlPr>
          </m:num>
          <m:den>
            <m:r>
              <m:rPr/>
              <w:rPr>
                <w:rFonts w:hint="eastAsia" w:ascii="DejaVu Math TeX Gyre" w:hAnsi="DejaVu Math TeX Gyre" w:cstheme="minorEastAsia"/>
                <w:caps w:val="0"/>
                <w:color w:val="000000"/>
                <w:spacing w:val="0"/>
                <w:kern w:val="0"/>
                <w:sz w:val="21"/>
                <w:szCs w:val="21"/>
                <w:shd w:val="clear" w:fill="FFFFFF"/>
                <w:lang w:val="en-US" w:eastAsia="zh-CN" w:bidi="ar"/>
              </w:rPr>
              <m:t>商品销售额</m:t>
            </m:r>
            <m:ctrlPr>
              <w:rPr>
                <w:rFonts w:ascii="DejaVu Math TeX Gyre" w:hAnsi="DejaVu Math TeX Gyre" w:cstheme="minorEastAsia"/>
                <w:i/>
                <w:iCs w:val="0"/>
                <w:caps w:val="0"/>
                <w:color w:val="000000"/>
                <w:spacing w:val="0"/>
                <w:kern w:val="0"/>
                <w:sz w:val="21"/>
                <w:szCs w:val="21"/>
                <w:shd w:val="clear" w:fill="FFFFFF"/>
                <w:lang w:val="en-US" w:bidi="ar"/>
              </w:rPr>
            </m:ctrlPr>
          </m:den>
        </m:f>
      </m:oMath>
      <w:r>
        <w:rPr>
          <w:rFonts w:hint="default" w:asciiTheme="minorEastAsia" w:hAnsiTheme="minorEastAsia" w:cstheme="minorEastAsia"/>
          <w:i w:val="0"/>
          <w:iCs w:val="0"/>
          <w:caps w:val="0"/>
          <w:color w:val="000000"/>
          <w:spacing w:val="0"/>
          <w:kern w:val="0"/>
          <w:sz w:val="21"/>
          <w:szCs w:val="21"/>
          <w:shd w:val="clear" w:fill="FFFFFF"/>
          <w:lang w:val="en-US" w:eastAsia="zh-CN" w:bidi="ar"/>
        </w:rPr>
        <w:t>，当商品库存量越大，销售额越高时，因无法确定比值的大小关系，所以无法得知商品库销比一定会越大，说法错误，排除。</w:t>
      </w:r>
    </w:p>
    <w:p w14:paraId="64A1E8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537766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9D1CE5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93.B</w:t>
      </w:r>
    </w:p>
    <w:p w14:paraId="1166655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079A44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动作预期：“运动员”、“在比赛过程中”、“根据已有信息，对即将发生的动作结果进行预测”；</w:t>
      </w:r>
    </w:p>
    <w:p w14:paraId="4BE0568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运动学信息：“对手的动作”、“器材的运动轨迹”、“队员之间的相对位置”；</w:t>
      </w:r>
    </w:p>
    <w:p w14:paraId="7904CF8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情境先验信息：“比赛情境中事件发生的概率”。</w:t>
      </w:r>
    </w:p>
    <w:p w14:paraId="36AFDDE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2B895BD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篮球队员甲，符合“运动员”，根据对手今日比赛罚篮命中率不高，在对手投篮时选择直接犯规，即预测犯规后对手会罚篮不中，符合“在比赛过程中”、“根据已有信息，对即将发生的动作结果进行预测”、“比赛情境中事件发生的概率”，符合“情境先验信息”定义，排除；</w:t>
      </w:r>
    </w:p>
    <w:p w14:paraId="3791DD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网球运动员乙知道对手在比赛前有一系列习惯性动作，不符合“在比赛过程中”，且乙是暗自提醒自己不要被干扰，未利用这些信息进行预测，不符合“对即将发生的动作结果进行预测”，不符合“动作预期”定义，进而也不符合“运动学信息”定义和“情境先验信息”定义，当选；</w:t>
      </w:r>
    </w:p>
    <w:p w14:paraId="43CA338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羽毛球双打运动员丙，符合“运动员”，根据对方准备接发球的球员位置稍微靠前，预测对方来不及转身或后退接球，符合“在比赛过程中”、“根据已有信息，对即将发生的动作结果进行预测”、“比赛情境中事件发生的概率”，符合“情境先验信息”定义，排除；</w:t>
      </w:r>
    </w:p>
    <w:p w14:paraId="42332F2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乒乓球运动员丁，符合“运动员”，根据对方发过来的球位置较低、速度较慢，预测球会擦网变线，符合“在比赛过程中”、“根据已有信息，对即将发生的动作结果进行预测”、“器材的运动轨迹”、“比赛情境中事件发生的概率”，符合“运动学信息”定义，也符合“情境先验信息”定义，排除。</w:t>
      </w:r>
    </w:p>
    <w:p w14:paraId="62F8407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本题为选非题，故正确答案为B。</w:t>
      </w:r>
    </w:p>
    <w:p w14:paraId="030783E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0DAE32A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94.C</w:t>
      </w:r>
    </w:p>
    <w:p w14:paraId="75D64B3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1E11B6A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纯粹随意条件：“成就与否完全由一方当事人的意思决定”；</w:t>
      </w:r>
    </w:p>
    <w:p w14:paraId="0A98FB5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非纯粹随意条件：“成就与否除一方当事人的意思外，尚须另一方当事人发生某种事件”；</w:t>
      </w:r>
    </w:p>
    <w:p w14:paraId="74E7670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混合条件：“成就与否取决于一方当事人与第三人的意思”；</w:t>
      </w:r>
    </w:p>
    <w:p w14:paraId="78F93CE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偶成条件：“成就与否无关当事人的意思，但可能受制于第三人的意思”。</w:t>
      </w:r>
    </w:p>
    <w:p w14:paraId="09236EA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3F9C4AD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小王与爸爸约定，如果小王考上的研究生院校让爸爸满意，爸爸就资助其旅游经费，双方约定的达成完全取决于爸爸是否满意，符合“成就与否完全由一方当事人的意思决定”，符合“纯粹随意条件”定义，不符合“混合条件”定义，排除；</w:t>
      </w:r>
    </w:p>
    <w:p w14:paraId="323130C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某店铺与供应商约定，如果三伏的第一天下雨，则今年的雨伞就多进货30%，是否多进货30%取决于天气，与双方当事人无关，符合“成就与否无关当事人的意思，但可能受制于第三人的意思”，符合“偶成条件”定义，不符合“混合条件”定义，排除；</w:t>
      </w:r>
    </w:p>
    <w:p w14:paraId="63125AB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甲厂与乙厂约定，如果甲厂能与丙公司签订承揽合同，甲厂就在乙厂购置原料板材，甲厂与乙厂达成合作，需要甲厂（一方当事人）有签订意愿，丙公司（第三人）同意签订，符合“成就与否取决于一方当事人与第三人的意思”，符合“混合条件”定义，当选；</w:t>
      </w:r>
    </w:p>
    <w:p w14:paraId="0112948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327391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小李与哥哥约定，如果小李能在开学前考取驾照，哥哥就把现在开的这台车赠送给小李，哥哥有赠送车给小李的意愿，且需要小李在开学前考取驾照，符合“成就与否除一方当事人的意思外，尚须另一方当事人发生某种事件”，符合“非纯粹随意条件”定义，不符合“混合条件”定义，排除。</w:t>
      </w:r>
    </w:p>
    <w:p w14:paraId="7BAD7E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463BF7A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FCFB7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95.B</w:t>
      </w:r>
    </w:p>
    <w:p w14:paraId="4ABE1E8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第一步：找出定义关键词。</w:t>
      </w:r>
    </w:p>
    <w:p w14:paraId="25C5E55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“根据性状的相对重要性顺序排列进行选择”、“先按第一重要性状进行选择，然后在入选株内按第二重要性状进行选择”、“顺次累进”。</w:t>
      </w:r>
    </w:p>
    <w:p w14:paraId="69F60F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64AE76E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A项：按株选目标性状出现的先后顺序进行淘汰，并非根据性状的相对重要性顺序排列进行选择，不符合“根据性状的相对重要性顺序排列进行选择”，不符合定义，排除；</w:t>
      </w:r>
    </w:p>
    <w:p w14:paraId="2490AF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群体内的植株中无病是存活的基础，是第一重要性状，丰产性好体现经济价值，是第二重要性状，再根据产量性状顺次进行选择，在群体内先选择无病植株，再在这些无病植株内选择丰产性好的植株，最后根据产量性状顺次进行选择，是根据性状的相对重要性顺序排列进行选择，符合“根据性状的相对重要性顺序排列进行选择”、“先按第一重要性状进行选择，然后在入选株内按第二重要性状进行选择”、“顺次累进”，符合定义，当选；</w:t>
      </w:r>
    </w:p>
    <w:p w14:paraId="53257C4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按照果实的大小、果型等性状初选，没有明确体现第一重要性状，且再按照综合性状入选标准进行复选，并非按照性状的相对重要性顺序排列进行选择，不符合“根据性状的相对重要性顺序排列进行选择”、“先按第一重要性状进行选择，然后在入选株内按第二重要性状进行选择”，不符合定义，排除；</w:t>
      </w:r>
    </w:p>
    <w:p w14:paraId="2F66D4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将需要鉴定的多个性状分别规定最低的入选标准，将低于入选标准的淘汰，没有明确体现性状的重要性顺序，并非按照性状的相对重要性顺序排列进行选择，不符合“根据性状的相对重要性顺序排列进行选择”、“先按第一重要性状进行选择，然后在入选株内按第二重要性状进行选择”，不符合定义，排除。</w:t>
      </w:r>
    </w:p>
    <w:p w14:paraId="31A095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485DAEA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13293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96.D第一步：判断题干词语间逻辑关系。</w:t>
      </w:r>
    </w:p>
    <w:p w14:paraId="4FB9196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“经年”指经过一年或若干年，“积岁”指累积多年，二者均可指经过多年，为近义关系。</w:t>
      </w:r>
    </w:p>
    <w:p w14:paraId="4718A6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第二步：判断选项词语间逻辑关系。</w:t>
      </w:r>
    </w:p>
    <w:p w14:paraId="1E76356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A项：“善本”指古代书籍中文字讹误较少、学术或艺术价值上比一般本子优异的刻本或写本，“版本”指同一部书因编辑、传抄、刻版、排版或装订形式等的不同而产生的不同的本子，“善本”是“版本”的一种类型，二者不是近义关系，与题干逻辑关系不一致，排除；</w:t>
      </w:r>
    </w:p>
    <w:p w14:paraId="76E0C9C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B项：“秘方”指不公开的有显著医疗效果的药方，“偏方”指民间流传不见于古典医学著作的中药方，前者从是否公开角度划分，后者从是否正规角度划分，二者为交叉关系，与题干逻辑关系不一致，排除；</w:t>
      </w:r>
    </w:p>
    <w:p w14:paraId="484173F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C项：“仲夏”指夏季的第二个月，是“夏季”的一部分，二者为组成关系，与题干逻辑关系不一致，排除；</w:t>
      </w:r>
    </w:p>
    <w:p w14:paraId="77E935B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D项：“黎民”指平民、民众，“百姓”指军人和官员以外的人，二者均可指普通民众，为近义关系，与题干逻辑关系一致，当选。</w:t>
      </w:r>
    </w:p>
    <w:p w14:paraId="476936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584D976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97.C</w:t>
      </w:r>
    </w:p>
    <w:p w14:paraId="00FFC06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第一步：判断题干词语间逻辑关系。</w:t>
      </w:r>
    </w:p>
    <w:p w14:paraId="7CF1E8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唾液是口腔的分泌物，前两词是对应关系，淀粉酶是唾液的组成成分，后两词是组成关系。</w:t>
      </w:r>
    </w:p>
    <w:p w14:paraId="5740947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第二步：判断选项词语间逻辑关系。</w:t>
      </w:r>
    </w:p>
    <w:p w14:paraId="37F7597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A项：孜然是一种常用的中草药，其种子可以制作为调味品，与题干逻辑关系不一致，排除；</w:t>
      </w:r>
    </w:p>
    <w:p w14:paraId="67175AE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B项：叶肉是叶片的组成部分，前两词是组成关系，与题干逻辑关系不一致，排除；</w:t>
      </w:r>
    </w:p>
    <w:p w14:paraId="52E5989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C项：松脂是松树的分泌物，前两词是对应关系，树脂醇是松脂的组成成分，后两词是组成关系，与题干逻辑关系一致，当选；</w:t>
      </w:r>
    </w:p>
    <w:p w14:paraId="1420AF0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D项：试纸是一种浸渍化学试剂的纸质检测工具，试剂和试纸是配套使用的对应关系，与题干逻辑关系不一致，排除。</w:t>
      </w:r>
    </w:p>
    <w:p w14:paraId="1CCE0AF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4353E7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3586450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98.A</w:t>
      </w:r>
    </w:p>
    <w:p w14:paraId="31CFB42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第一步：判断题干词语间逻辑关系。</w:t>
      </w:r>
    </w:p>
    <w:p w14:paraId="036941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护患比=护士人数/患者人数，三者满足公式关系。</w:t>
      </w:r>
    </w:p>
    <w:p w14:paraId="4964DFC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第二步：判断选项词语间逻辑关系。</w:t>
      </w:r>
    </w:p>
    <w:p w14:paraId="177FB97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A项：平均理赔金额=理赔总额/理赔次数，与题干逻辑关系一致，当选；</w:t>
      </w:r>
    </w:p>
    <w:p w14:paraId="4D0B89D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B项：签收率=实际签收数量/应签收数量，但词语顺序与题干不一致，排除；</w:t>
      </w:r>
    </w:p>
    <w:p w14:paraId="792F71D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C项：流动比率=流动资产/流动负债，但词语顺序与题干不一致，排除；</w:t>
      </w:r>
    </w:p>
    <w:p w14:paraId="48CE406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D项：入住率=入住客房数/客房数，而入住客房数</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旅客数，每间客房入住的旅客数可能不同，与题干逻辑关系不一致，排除。</w:t>
      </w:r>
    </w:p>
    <w:p w14:paraId="763DB0A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4E1F95E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1E5A05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99.D</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ab/>
      </w:r>
    </w:p>
    <w:p w14:paraId="05B48CA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逐一代入选项。</w:t>
      </w:r>
    </w:p>
    <w:p w14:paraId="6D19146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A项：颅内感染是颅内疾病的一种，二者为种属关系；岩石熔融和岩石断裂是两种不同的地质现象，二者为并列关系，前后逻辑关系不一致，排除；</w:t>
      </w:r>
    </w:p>
    <w:p w14:paraId="21EAC6F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B项：颅内疾病是机体疾病的一种，二者为种属关系；地壳应力是导致岩石断裂的原因，二者为因果关系，前后逻辑关系不一致，排除；</w:t>
      </w:r>
    </w:p>
    <w:p w14:paraId="4FF268B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C项：核磁共振是可以用来诊断颅内疾病的工具，二者为诊断工具与疾病的对应关系；地下采样可以用来研究岩石断裂，但二者不是诊断工具与疾病的对应关系，前后逻辑关系不一致，排除；</w:t>
      </w:r>
    </w:p>
    <w:p w14:paraId="5D03F4D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D项：颅内疾病会导致视野缺失，二者为因果对应关系；冰川运动会导致岩石断裂，二者为因果对应关系，前后逻辑关系一致，当选。</w:t>
      </w:r>
    </w:p>
    <w:p w14:paraId="09CDF2F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489F353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5721D2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100.B</w:t>
      </w:r>
    </w:p>
    <w:p w14:paraId="76B1FC3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第一步：判断题干词语间逻辑关系。</w:t>
      </w:r>
    </w:p>
    <w:p w14:paraId="73750E6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根据题干图形可知，①和②是交叉关系；③属于①，③和①是种属关系；③属于②，③和②是种属关系。</w:t>
      </w:r>
    </w:p>
    <w:p w14:paraId="68282D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第二步：判断选项词语间逻辑关系。</w:t>
      </w:r>
    </w:p>
    <w:p w14:paraId="07707A5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A项：航空母舰（③）是指军队专用的机动船只，与非机动船（②）不是种属关系，与题干逻辑关系不一致，排除；</w:t>
      </w:r>
    </w:p>
    <w:p w14:paraId="08906A2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B项：落叶树（①）和乔木（②）是交叉关系；水杉（③）属于落叶树（①），③和①是种属关系；水杉（③）属于乔木（②），③和②是种属关系，与题干逻辑关系一致，当选；</w:t>
      </w:r>
    </w:p>
    <w:p w14:paraId="7F6EF13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C项：少儿读物（③）和电子书（②）是交叉关系，不是种属关系，与题干逻辑关系不一致，排除；</w:t>
      </w:r>
    </w:p>
    <w:p w14:paraId="2C3573E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D项：中国国家一级保护野生动物（③）和哺乳动物（①）是交叉关系，不是种属关系，与题干逻辑关系不一致，排除。</w:t>
      </w:r>
    </w:p>
    <w:p w14:paraId="1E9B2B2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205BDC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4C9393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101.C</w:t>
      </w:r>
    </w:p>
    <w:p w14:paraId="5C5999C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第一步：找出论点和论据。</w:t>
      </w:r>
    </w:p>
    <w:p w14:paraId="5A5CF00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论点：这些动物一定属于鸟类。</w:t>
      </w:r>
    </w:p>
    <w:p w14:paraId="5328323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论据：这些似鸟动物体型与现代鸟类大致接近，尾巴很短，最重要的是它们都具有愈合的尾综骨。</w:t>
      </w:r>
    </w:p>
    <w:p w14:paraId="7B0D934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本题论点讨论的是这些似鸟动物属于鸟类，论据讨论的是这些似鸟动物有愈合的尾综骨，二者话题不一致，加强优先考虑搭桥，即在“鸟类”和“愈合的尾综骨”之间建立联系。</w:t>
      </w:r>
    </w:p>
    <w:p w14:paraId="022C543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7DB9DC9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A项：该项指出这些似鸟动物与现代鸟类具有相似的脚骨，但是不明确脚骨是否能够判断这些似鸟动物为鸟类，属于不明确选项，无法加强，排除；</w:t>
      </w:r>
    </w:p>
    <w:p w14:paraId="2449693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B项：该项强调这些化石保存的尾综骨等形态清晰，说明这些动物确实具有尾综骨，可以加强论据，但不是论证成立的前提，排除；</w:t>
      </w:r>
    </w:p>
    <w:p w14:paraId="08A498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 xml:space="preserve">C项：该项指出鸟类与爬行动物的显著区别是鸟类最后几枚尾椎愈合成为尾综骨，建立了“鸟类”和“愈合的尾综骨”之间的联系，为搭桥项，是论证成立的前提，当选； </w:t>
      </w:r>
    </w:p>
    <w:p w14:paraId="6524BD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D项：该项强调尾综骨结构对似鸟动物独立运动以及飞行能力的重要性，但不能判断其是否属于鸟类，属于不明确选项，无法加强，排除。</w:t>
      </w:r>
    </w:p>
    <w:p w14:paraId="0C0C24B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故正确答案为C。</w:t>
      </w:r>
    </w:p>
    <w:p w14:paraId="5BB01B1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660E7BB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102.A</w:t>
      </w:r>
    </w:p>
    <w:p w14:paraId="3B8BB9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第一步：找出论点和论据。</w:t>
      </w:r>
    </w:p>
    <w:p w14:paraId="5EAD335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论点：S遗址不是封闭区域，其所在的古国曾与Y遗址的古国或其他区域存在着交流互动。</w:t>
      </w:r>
    </w:p>
    <w:p w14:paraId="2608889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论据：在距离S遗址较远的北部Y遗址，出土的青铜器曾大量使用了来自S遗址附近矿床的铅铜矿料，在S遗址文化消亡后，Y遗址出土的青铜器基本不再含有这种矿料。</w:t>
      </w:r>
    </w:p>
    <w:p w14:paraId="0F20DCB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本题为选非题，将可以加强的选项排除即可。</w:t>
      </w:r>
    </w:p>
    <w:p w14:paraId="7387042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57BA0B0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A项：该项说的是S遗址的青铜器制造业在当时非常发达，但没有说明S遗址是否和其他区域存在交流互动，无法加强，当选；</w:t>
      </w:r>
    </w:p>
    <w:p w14:paraId="367FF3C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B项：该项说的是S遗址出土了很多带有明显Y遗址文化元素的青铜器，说明S遗址所在的古国与Y遗址的古国存在着交流互动，补充论据，可以加强，排除；</w:t>
      </w:r>
    </w:p>
    <w:p w14:paraId="34A2203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C项：该项说的是S遗址出土的部分文物采用了Y遗址多见的“泥模块铸法”，说明S遗址所在的古国与Y遗址的古国存在着交流互动，补充论据，可以加强，排除；</w:t>
      </w:r>
    </w:p>
    <w:p w14:paraId="3F74F9F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D项：该项说的是原本流行于东部地区的牙璋、铜牌饰、陶盉等也在位于南部的S遗址中大量出现，说明S遗址所在的古国与其他区域存在着交流互动，补充论据，可以加强，排除。</w:t>
      </w:r>
    </w:p>
    <w:p w14:paraId="5F2856F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本题为选非题，故正确答案为A。</w:t>
      </w:r>
    </w:p>
    <w:p w14:paraId="1634102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C0576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103.D</w:t>
      </w:r>
    </w:p>
    <w:p w14:paraId="15D45A5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第一步：翻译题干。</w:t>
      </w:r>
    </w:p>
    <w:p w14:paraId="40EFB8E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①破除我国城乡二元结构、拓展高质量发展空间完善</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城乡融合发展体制机制；</w:t>
      </w:r>
    </w:p>
    <w:p w14:paraId="4FFFFD4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②完善城乡融合发展体制机制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完善农业农村优先发展的投入保障机制 且 优化城乡公共资源配置机制；</w:t>
      </w:r>
    </w:p>
    <w:p w14:paraId="2E39429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③完善农业农村优先发展的投入保障机制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加大中央预算内投资和地方政府专项债券支持力度 且 提高土地出让收入用于农业农村的比例；</w:t>
      </w:r>
    </w:p>
    <w:p w14:paraId="3084D97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④优化城乡公共资源配置机制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推进户籍制度改革。</w:t>
      </w:r>
    </w:p>
    <w:p w14:paraId="663BF6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①②③可串联得到：⑤破除我国城乡二元结构、拓展高质量发展空间</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完善城乡融合发展体制机制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完善农业农村优先发展的投入保障机制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加大中央预算内投资和地方政府专项债券支持力度 且 提高土地出让收入用于农业农村的比例；</w:t>
      </w:r>
    </w:p>
    <w:p w14:paraId="65A0479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①②④可串联得到：⑥破除我国城乡二元结构、拓展高质量发展空间</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完善城乡融合发展体制机制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优化城乡公共资源配置机制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推进户籍制度改革。</w:t>
      </w:r>
    </w:p>
    <w:p w14:paraId="14856D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2A19B31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A项：该项翻译为“推进户籍制度改革</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优化城乡公共资源配置机制”，是对④的肯后，肯后得不到确定性的结论，无法推出，排除；</w:t>
      </w:r>
    </w:p>
    <w:p w14:paraId="49BE24B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B项：该项翻译为“完善农业农村优先发展的投入保障机制</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完善城乡融合发展体制机制”，是肯定②箭头后“且关系”中的一部分，肯后得不到确定性的结论，不能推出，排除；</w:t>
      </w:r>
    </w:p>
    <w:p w14:paraId="0E661B9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C项：该项翻译为“提高土地出让收入用于农业农村的比例</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完善农业农村优先发展的投入保障机制”，是肯定③箭头后“且关系”中的一部分，肯后得不到确定性的结论，不能推出，排除；</w:t>
      </w:r>
    </w:p>
    <w:p w14:paraId="3D95A26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D项：该项翻译为“破除我国城乡二元结构、拓展高质量发展空间</w:t>
      </w:r>
      <w:r>
        <w:rPr>
          <w:rFonts w:hint="eastAsia" w:asciiTheme="minorEastAsia" w:hAnsiTheme="minorEastAsia" w:cstheme="minorEastAsia"/>
          <w:i w:val="0"/>
          <w:iCs w:val="0"/>
          <w:caps w:val="0"/>
          <w:color w:val="000000"/>
          <w:spacing w:val="0"/>
          <w:kern w:val="0"/>
          <w:sz w:val="21"/>
          <w:szCs w:val="21"/>
          <w:shd w:val="clear" w:fill="FFFFFF"/>
          <w:lang w:val="en-US" w:eastAsia="zh-CN" w:bidi="ar"/>
        </w:rPr>
        <w:t>→</w:t>
      </w:r>
      <w:r>
        <w:rPr>
          <w:rFonts w:hint="default" w:asciiTheme="minorEastAsia" w:hAnsiTheme="minorEastAsia" w:cstheme="minorEastAsia"/>
          <w:i w:val="0"/>
          <w:iCs w:val="0"/>
          <w:caps w:val="0"/>
          <w:color w:val="000000"/>
          <w:spacing w:val="0"/>
          <w:kern w:val="0"/>
          <w:sz w:val="21"/>
          <w:szCs w:val="21"/>
          <w:shd w:val="clear" w:fill="FFFFFF"/>
          <w:lang w:val="en-US" w:eastAsia="zh-CN" w:bidi="ar"/>
        </w:rPr>
        <w:t>加大中央预算内投资和地方政府专项债券支持力度”，是对⑤的肯前，肯前必肯后，可以推出，当选。</w:t>
      </w:r>
    </w:p>
    <w:p w14:paraId="50F8272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4A9D71A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167927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104.B</w:t>
      </w:r>
    </w:p>
    <w:p w14:paraId="39C72F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第一步：找出论点和论据。</w:t>
      </w:r>
    </w:p>
    <w:p w14:paraId="3EDEFED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论点：平台企业金融化程度的加深使得平台劳动者的劳动权益保护问题日益突出。</w:t>
      </w:r>
    </w:p>
    <w:p w14:paraId="12270DF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论据：无。</w:t>
      </w:r>
    </w:p>
    <w:p w14:paraId="04FC9A9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本题只有论点，没有论据，加强优先考虑补充论据。</w:t>
      </w:r>
    </w:p>
    <w:p w14:paraId="57758CE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18FD856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A项：选项指出为扩大市场规模、争夺消费者注意力，平台企业容易陷入无序竞争，与论点讨论的平台企业金融化程度加深是否会导致平台劳动者的劳动权益保护问题日益突出无关，无关项，无法加强，排除；</w:t>
      </w:r>
    </w:p>
    <w:p w14:paraId="46CEBD2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选项指出为塑造轻资产企业形象、摆脱劳动密集型标签，说明平台企业金融化程度在加深，平台企业采用弹性用工制，增加劳动者就业不稳定性，说明平台劳动者的具体劳动和生产过程发生了变化，且增加了平台劳动者的劳动权益保护问题，补充论据，可以加强，当选；</w:t>
      </w:r>
    </w:p>
    <w:p w14:paraId="587364F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C项：选项指出平台企业越来越注重员工培训，与论点讨论的平台企业金融化程度加深是否会导致平台劳动者的劳动权益保护问题无关，无关项，无法加强，排除；</w:t>
      </w:r>
    </w:p>
    <w:p w14:paraId="3B0AE3B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D项：选项指出部分平台企业以缴纳保证金、押金或其他名义向劳动者收取财物，限制劳动者在多平台就业，但是不明确这些平台是否存在企业金融化程度的加深，不明确选项，无法加强，排除。</w:t>
      </w:r>
    </w:p>
    <w:p w14:paraId="0FA664D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2F49A27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2DE4D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105.C</w:t>
      </w:r>
    </w:p>
    <w:p w14:paraId="68F6A9A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第一步：找出论点和论据。</w:t>
      </w:r>
    </w:p>
    <w:p w14:paraId="3F78F65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论点：直接使用通用AI工具可短暂提高学生数学测试成绩，但最终削弱了学生的数学学习能力。</w:t>
      </w:r>
    </w:p>
    <w:p w14:paraId="140D3D8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论据：研究持续一学期，学生被分为三组，分别在课堂练习阶段使用不同工具：①组使用标准课本和笔记；②组使用通用AI工具，可以直接查询答案；③组使用特别设计的AI工具，指导而不直接给出答案。随堂考核发现，②组和③组学生比①组学生的成绩高出48％和127％。但期末考试时，②组比①组成绩低了17%；而③组和①组无明显差异。</w:t>
      </w:r>
    </w:p>
    <w:p w14:paraId="703D8E5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本题论点和论据都在讨论使用AI工具对数学学习能力的影响，二者话题一致，且本题为削弱选非题，排除能削弱的选项即可。</w:t>
      </w:r>
    </w:p>
    <w:p w14:paraId="1545010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第二步：逐一分析选项。</w:t>
      </w:r>
    </w:p>
    <w:p w14:paraId="26324BB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A项：该项指出研究结果不能说明正确使用AI工具的效果，说明实验过程存在漏洞，质疑了实验结果，削弱论据，可以削弱，排除；</w:t>
      </w:r>
    </w:p>
    <w:p w14:paraId="71CDECC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B项：该项指出学生的数学基础水平、学习动机、课后自主练习等变量都会影响考试成绩，说明存在其他会影响学生成绩的因素，他因削弱，可以削弱，排除；</w:t>
      </w:r>
    </w:p>
    <w:p w14:paraId="54142D0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C项：该项指出本研究无法说明AI工具辅助教学对其他学科的影响，即使用AI工具对学生学习能力的影响范围有限，但不清楚使用AI工具是否会削弱学生的数学学习能力，无法削弱，当选；</w:t>
      </w:r>
    </w:p>
    <w:p w14:paraId="6445A71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D项：该项指出研究持续时间不够，不足以说明长期使用AI工具可能带来的效果，说明实验过程存在漏洞，质疑了实验结果，削弱论据，可以削弱，排除。</w:t>
      </w:r>
    </w:p>
    <w:p w14:paraId="0C39F0B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本题为选非题，故正确答案为C。</w:t>
      </w:r>
    </w:p>
    <w:p w14:paraId="14AF861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2E836E8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106.D</w:t>
      </w:r>
    </w:p>
    <w:p w14:paraId="12B2819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第一步：分析题干条件。</w:t>
      </w:r>
    </w:p>
    <w:p w14:paraId="538FB2E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（1）王、韩没有参加同一个项目；</w:t>
      </w:r>
    </w:p>
    <w:p w14:paraId="4B95ACE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（2）韩羽毛球宋网球；</w:t>
      </w:r>
    </w:p>
    <w:p w14:paraId="4B50818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（3）王乒乓球吴网球，王乒乓球吴网球；</w:t>
      </w:r>
    </w:p>
    <w:p w14:paraId="42E5B28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（4）每支队伍由其中2人组成，4人均至少参加了其中的一支队伍。</w:t>
      </w:r>
    </w:p>
    <w:p w14:paraId="474B245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第二步：根据题干条件进行推理。</w:t>
      </w:r>
    </w:p>
    <w:p w14:paraId="0970F78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本题题干信息确定，选项信息充分，优先考虑排除法。</w:t>
      </w:r>
    </w:p>
    <w:p w14:paraId="557E2A0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由条件（1）可知，王、韩没有参加同一个项目，排除A项；</w:t>
      </w:r>
    </w:p>
    <w:p w14:paraId="58D3FCC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由条件（2）可知，韩参加羽毛球，则宋参加网球，排除B项；</w:t>
      </w:r>
    </w:p>
    <w:p w14:paraId="229E33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由条件（3）可知，王参加乒乓球，则吴参加网球，排除C项。</w:t>
      </w:r>
    </w:p>
    <w:p w14:paraId="6D22380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经验证，D项满足题干所有条件，当选。</w:t>
      </w:r>
    </w:p>
    <w:p w14:paraId="73B7D83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7889CB1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A4A300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107.B</w:t>
      </w:r>
    </w:p>
    <w:p w14:paraId="311B329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第一步：分析题干条件。</w:t>
      </w:r>
    </w:p>
    <w:p w14:paraId="3F98888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（1）王、韩没有参加同一个项目；</w:t>
      </w:r>
    </w:p>
    <w:p w14:paraId="6C3D46F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（2）韩羽毛球宋网球；</w:t>
      </w:r>
    </w:p>
    <w:p w14:paraId="778C725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（3）王乒乓球吴网球，王乒乓球吴网球；</w:t>
      </w:r>
    </w:p>
    <w:p w14:paraId="7B5887E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（4）每支队伍由其中2人组成，4人均至少参加了其中的一支队伍；</w:t>
      </w:r>
    </w:p>
    <w:p w14:paraId="0D55813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（5）宋和韩组队网球。</w:t>
      </w:r>
    </w:p>
    <w:p w14:paraId="2A29EC4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第二步：根据题干条件进行推理。</w:t>
      </w:r>
    </w:p>
    <w:p w14:paraId="049AE7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条件（1）和（5）可知，王不参加网球；根据条件（4）和（5）可知，宋和韩组队网球，队伍已满2人，所以吴不参加网球，结合条件（3）可知，王不参加乒乓球；再结合条件（4）4人均至少参加了其中的一支队伍可知，王参加羽毛球。</w:t>
      </w:r>
    </w:p>
    <w:p w14:paraId="4A80E43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39A95EB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15C400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108.A</w:t>
      </w:r>
    </w:p>
    <w:p w14:paraId="7028FDA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第一步：分析题干条件。</w:t>
      </w:r>
    </w:p>
    <w:p w14:paraId="69E6AFD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（1）王、韩没有参加同一个项目；</w:t>
      </w:r>
    </w:p>
    <w:p w14:paraId="2DBCED1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（2）韩羽毛球宋网球；</w:t>
      </w:r>
    </w:p>
    <w:p w14:paraId="4A91E92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（3）王乒乓球吴网球，王乒乓球吴网球；</w:t>
      </w:r>
    </w:p>
    <w:p w14:paraId="3FAD5F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（4）每支队伍由其中2人组成，4人均至少参加了其中的一支队伍；</w:t>
      </w:r>
    </w:p>
    <w:p w14:paraId="7CDE81C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（5）吴参加了3个项目。</w:t>
      </w:r>
    </w:p>
    <w:p w14:paraId="4E73E2D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第二步：根据题干条件进行推理。</w:t>
      </w:r>
    </w:p>
    <w:p w14:paraId="7036C1B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条件（4）和（5）可知，吴参加了网球、乒乓球和羽毛球3个项目，王、韩和宋每人均只参加1个项目，结合条件（3）“王乒乓球吴网球”可知，王参加乒乓球项目，此时，韩和宋只需要分别参加羽毛球和网球中的1个项目即可。综上所述，选项中只有A项可能正确。</w:t>
      </w:r>
    </w:p>
    <w:p w14:paraId="7214CCC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故正确答案为A。</w:t>
      </w:r>
    </w:p>
    <w:p w14:paraId="6000EFA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4F46F96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109.B</w:t>
      </w:r>
    </w:p>
    <w:p w14:paraId="7D7D9F7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第一步：分析题干条件。</w:t>
      </w:r>
    </w:p>
    <w:p w14:paraId="3A8691C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（1）王、韩没有参加同一个项目；</w:t>
      </w:r>
    </w:p>
    <w:p w14:paraId="0594A2C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（2）韩羽毛球宋网球；</w:t>
      </w:r>
    </w:p>
    <w:p w14:paraId="6516E30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（3）王乒乓球吴网球，王乒乓球吴网球；</w:t>
      </w:r>
    </w:p>
    <w:p w14:paraId="70471C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（4）每支队伍由其中2人组成，4人均至少参加了其中的一支队伍。</w:t>
      </w:r>
    </w:p>
    <w:p w14:paraId="14C99D8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第二步：根据题干条件进行推理。</w:t>
      </w:r>
    </w:p>
    <w:p w14:paraId="49D4D4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题干问法为“可能”，优先使用代入法。</w:t>
      </w:r>
    </w:p>
    <w:p w14:paraId="57BA10A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代入A项：王和吴同时组队网球和羽毛球双打，根据条件（4）可知，韩和宋组队乒乓球双打，此时与条件（3）的后一个推出关系矛盾，不满足题干条件，不可能为真，排除；</w:t>
      </w:r>
    </w:p>
    <w:p w14:paraId="6FBE537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代入B项：王和宋同时组队网球和羽毛球双打，根据条件（4）可知，吴和韩组队乒乓球双打，此时满足题干所有条件，可能为真，当选；</w:t>
      </w:r>
    </w:p>
    <w:p w14:paraId="277C521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代入C项：吴和宋同时组队网球和羽毛球双打，根据条件（4）可知，王和韩组队乒乓球双打，此时与条件（1）矛盾，不满足题干条件，不可能为真，排除；</w:t>
      </w:r>
    </w:p>
    <w:p w14:paraId="65893C4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代入D项：韩和宋同时组队网球和羽毛球双打，王和吴组队乒乓球双打，此时与条件（3）的前一个推出关系矛盾，不满足题干条件，不可能为真，排除；</w:t>
      </w:r>
    </w:p>
    <w:p w14:paraId="49678FE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故正确答案为B。</w:t>
      </w:r>
    </w:p>
    <w:p w14:paraId="5DC04C4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p>
    <w:p w14:paraId="7F41A82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i w:val="0"/>
          <w:iCs w:val="0"/>
          <w:caps w:val="0"/>
          <w:color w:val="000000"/>
          <w:spacing w:val="0"/>
          <w:kern w:val="0"/>
          <w:sz w:val="21"/>
          <w:szCs w:val="21"/>
          <w:shd w:val="clear" w:fill="FFFFFF"/>
          <w:lang w:val="en-US" w:eastAsia="zh-CN" w:bidi="ar"/>
        </w:rPr>
      </w:pPr>
      <w:r>
        <w:rPr>
          <w:rFonts w:hint="eastAsia" w:asciiTheme="minorEastAsia" w:hAnsiTheme="minorEastAsia" w:cstheme="minorEastAsia"/>
          <w:i w:val="0"/>
          <w:iCs w:val="0"/>
          <w:caps w:val="0"/>
          <w:color w:val="000000"/>
          <w:spacing w:val="0"/>
          <w:kern w:val="0"/>
          <w:sz w:val="21"/>
          <w:szCs w:val="21"/>
          <w:shd w:val="clear" w:fill="FFFFFF"/>
          <w:lang w:val="en-US" w:eastAsia="zh-CN" w:bidi="ar"/>
        </w:rPr>
        <w:t>110.D</w:t>
      </w:r>
    </w:p>
    <w:p w14:paraId="40E5E24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第一步：分析题干条件。</w:t>
      </w:r>
    </w:p>
    <w:p w14:paraId="31C359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（1）王、韩没有参加同一个项目；</w:t>
      </w:r>
    </w:p>
    <w:p w14:paraId="4997AC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（2）韩羽毛球宋网球；</w:t>
      </w:r>
    </w:p>
    <w:p w14:paraId="41590A1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（3）王乒乓球吴网球，王乒乓球吴网球；</w:t>
      </w:r>
    </w:p>
    <w:p w14:paraId="0B77B24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（4）每支队伍由其中2人组成，4人均至少参加了其中的一支队伍；</w:t>
      </w:r>
    </w:p>
    <w:p w14:paraId="0C86F28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（5）宋和韩组队乒乓球双打。</w:t>
      </w:r>
    </w:p>
    <w:p w14:paraId="79E7FF2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第二步：根据题干条件进行推理。</w:t>
      </w:r>
    </w:p>
    <w:p w14:paraId="40637D7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根据条件（4）与（5），可知乒乓球队人已满，则王与吴均不能参加乒乓球项目，结合条件（3），肯前必肯后，可得吴不参加网球项目，排除A、B两项；</w:t>
      </w:r>
    </w:p>
    <w:p w14:paraId="16D4588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根据吴不参加乒乓球项目，也不参加网球项目，结合条件（4），4人均至少参加了其中的一支队伍，可得吴必须参加羽毛球项目，那么宋和韩不可能同时参加羽毛球项目，排除C项。</w:t>
      </w:r>
    </w:p>
    <w:p w14:paraId="7DFD982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t>故正确答案为D。</w:t>
      </w:r>
    </w:p>
    <w:p w14:paraId="0DAC7A25">
      <w:pPr>
        <w:rPr>
          <w:rFonts w:hint="default" w:asciiTheme="minorEastAsia" w:hAnsiTheme="minorEastAsia" w:cstheme="minorEastAsia"/>
          <w:i w:val="0"/>
          <w:iCs w:val="0"/>
          <w:caps w:val="0"/>
          <w:color w:val="000000"/>
          <w:spacing w:val="0"/>
          <w:kern w:val="0"/>
          <w:sz w:val="21"/>
          <w:szCs w:val="21"/>
          <w:shd w:val="clear" w:fill="FFFFFF"/>
          <w:lang w:val="en-US" w:eastAsia="zh-CN" w:bidi="ar"/>
        </w:rPr>
      </w:pPr>
      <w:r>
        <w:rPr>
          <w:rFonts w:hint="default" w:asciiTheme="minorEastAsia" w:hAnsiTheme="minorEastAsia" w:cstheme="minorEastAsia"/>
          <w:i w:val="0"/>
          <w:iCs w:val="0"/>
          <w:caps w:val="0"/>
          <w:color w:val="000000"/>
          <w:spacing w:val="0"/>
          <w:kern w:val="0"/>
          <w:sz w:val="21"/>
          <w:szCs w:val="21"/>
          <w:shd w:val="clear" w:fill="FFFFFF"/>
          <w:lang w:val="en-US" w:eastAsia="zh-CN" w:bidi="ar"/>
        </w:rPr>
        <w:br w:type="page"/>
      </w:r>
    </w:p>
    <w:p w14:paraId="69CE55C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lang w:val="en-US" w:eastAsia="zh-CN" w:bidi="ar"/>
        </w:rPr>
        <w:t>六、资料分析</w:t>
      </w:r>
    </w:p>
    <w:p w14:paraId="00EEB6E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111.C</w:t>
      </w:r>
    </w:p>
    <w:p w14:paraId="2A2C2AD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上半年······顺差（出口额-进口额）比上年同期”，结合选项为百分数，且出口额=进口额+顺差，可判定本题为混合增长率问题。定位统计表可得：2024年上半年，中国医药保健品进、出口额分别为451.76亿美元、525.79亿美元，同比增长率分别为-5.76%、1.96%。根据混合增长率口诀“混合后居中但不正中”可得，进口额增长率（-5.76%）＜出口额增长率（1.96%）＜顺差增长率，排除A、B两项。</w:t>
      </w:r>
    </w:p>
    <w:p w14:paraId="74FA16C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2024年上半年中国医药保健品进出口贸易顺差</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=525.79-451.76≈74</w:t>
      </w: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亿美元，根据线段法：距离与量成反比（一般用现期量代替基期量计算），可得：</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sSub>
              <m:sSubPr>
                <m:ctrlPr>
                  <w:rPr>
                    <w:rFonts w:ascii="DejaVu Math TeX Gyre" w:hAnsi="DejaVu Math TeX Gyre" w:cstheme="minorEastAsia"/>
                    <w:bCs w:val="0"/>
                    <w:i w:val="0"/>
                    <w:iCs/>
                    <w:caps w:val="0"/>
                    <w:color w:val="000000"/>
                    <w:spacing w:val="0"/>
                    <w:kern w:val="0"/>
                    <w:sz w:val="21"/>
                    <w:szCs w:val="21"/>
                    <w:shd w:val="clear" w:fill="FFFFFF"/>
                    <w:lang w:val="en-US" w:bidi="ar"/>
                  </w:rPr>
                </m:ctrlPr>
              </m:sSubPr>
              <m:e>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r</m:t>
                </m:r>
                <m:ctrlPr>
                  <w:rPr>
                    <w:rFonts w:ascii="DejaVu Math TeX Gyre" w:hAnsi="DejaVu Math TeX Gyre" w:cstheme="minorEastAsia"/>
                    <w:bCs w:val="0"/>
                    <w:i w:val="0"/>
                    <w:iCs/>
                    <w:caps w:val="0"/>
                    <w:color w:val="000000"/>
                    <w:spacing w:val="0"/>
                    <w:kern w:val="0"/>
                    <w:sz w:val="21"/>
                    <w:szCs w:val="21"/>
                    <w:shd w:val="clear" w:fill="FFFFFF"/>
                    <w:lang w:val="en-US" w:bidi="ar"/>
                  </w:rPr>
                </m:ctrlPr>
              </m:e>
              <m:sub>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顺差</m:t>
                </m:r>
                <m:ctrlPr>
                  <w:rPr>
                    <w:rFonts w:ascii="DejaVu Math TeX Gyre" w:hAnsi="DejaVu Math TeX Gyre" w:cstheme="minorEastAsia"/>
                    <w:bCs w:val="0"/>
                    <w:i w:val="0"/>
                    <w:iCs/>
                    <w:caps w:val="0"/>
                    <w:color w:val="000000"/>
                    <w:spacing w:val="0"/>
                    <w:kern w:val="0"/>
                    <w:sz w:val="21"/>
                    <w:szCs w:val="21"/>
                    <w:shd w:val="clear" w:fill="FFFFFF"/>
                    <w:lang w:val="en-US" w:bidi="ar"/>
                  </w:rPr>
                </m:ctrlPr>
              </m:sub>
            </m:sSub>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−1.96%</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1.96%−</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−5.76%</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451.76</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74</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6</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，解得：</w:t>
      </w:r>
      <m:oMath>
        <m:sSub>
          <m:sSubPr>
            <m:ctrlPr>
              <w:rPr>
                <w:rFonts w:ascii="DejaVu Math TeX Gyre" w:hAnsi="DejaVu Math TeX Gyre" w:cstheme="minorEastAsia"/>
                <w:bCs w:val="0"/>
                <w:i/>
                <w:iCs w:val="0"/>
                <w:caps w:val="0"/>
                <w:color w:val="000000"/>
                <w:spacing w:val="0"/>
                <w:kern w:val="0"/>
                <w:sz w:val="21"/>
                <w:szCs w:val="21"/>
                <w:shd w:val="clear" w:fill="FFFFFF"/>
                <w:lang w:val="en-US"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r</m:t>
            </m:r>
            <m:ctrlPr>
              <w:rPr>
                <w:rFonts w:ascii="DejaVu Math TeX Gyre" w:hAnsi="DejaVu Math TeX Gyre" w:cstheme="minorEastAsia"/>
                <w:bCs w:val="0"/>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顺差</m:t>
            </m:r>
            <m:ctrlPr>
              <w:rPr>
                <w:rFonts w:ascii="DejaVu Math TeX Gyre" w:hAnsi="DejaVu Math TeX Gyre" w:cstheme="minorEastAsia"/>
                <w:bCs w:val="0"/>
                <w:i/>
                <w:iCs w:val="0"/>
                <w:caps w:val="0"/>
                <w:color w:val="000000"/>
                <w:spacing w:val="0"/>
                <w:kern w:val="0"/>
                <w:sz w:val="21"/>
                <w:szCs w:val="21"/>
                <w:shd w:val="clear" w:fill="FFFFFF"/>
                <w:lang w:val="en-US" w:bidi="ar"/>
              </w:rPr>
            </m:ctrlPr>
          </m:sub>
        </m:sSub>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48%</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，在C项范围内。</w:t>
      </w:r>
    </w:p>
    <w:p w14:paraId="1328F3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故正确答案为C。</w:t>
      </w:r>
    </w:p>
    <w:p w14:paraId="6993B4D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15E943A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112.D</w:t>
      </w:r>
    </w:p>
    <w:p w14:paraId="273FF48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上半年······占······的比重比上年同期”，结合选项为上升了/下降了+百分点，可判定本题为两期比重问题。定位统计表可得：2024年上半年中国医药保健品出口总额为525.79亿美元（B），同比增长1.96%（b）；中药提取物出口额为14.92亿美元（A），同比增长-14.28%（a）。根据公式：两期比重差</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A</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B</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w:rPr>
            <w:rFonts w:hint="default" w:ascii="DejaVu Math TeX Gyre" w:hAnsi="DejaVu Math TeX Gyre" w:cs="DejaVu Math TeX Gyre"/>
            <w:caps w:val="0"/>
            <w:color w:val="000000"/>
            <w:spacing w:val="0"/>
            <w:kern w:val="0"/>
            <w:sz w:val="21"/>
            <w:szCs w:val="21"/>
            <w:shd w:val="clear" w:fill="FFFFFF"/>
            <w:lang w:val="en-US" w:bidi="ar"/>
          </w:rPr>
          <m:t>×</m:t>
        </m:r>
        <m:f>
          <m:fPr>
            <m:ctrlPr>
              <w:rPr>
                <w:rFonts w:hint="default" w:ascii="DejaVu Math TeX Gyre" w:hAnsi="DejaVu Math TeX Gyre" w:cs="DejaVu Math TeX Gyre"/>
                <w:bCs w:val="0"/>
                <w:i/>
                <w:iCs w:val="0"/>
                <w:caps w:val="0"/>
                <w:color w:val="000000"/>
                <w:spacing w:val="0"/>
                <w:kern w:val="0"/>
                <w:sz w:val="21"/>
                <w:szCs w:val="21"/>
                <w:shd w:val="clear" w:fill="FFFFFF"/>
                <w:lang w:val="en-US"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a−b</m:t>
            </m:r>
            <m:ctrlPr>
              <w:rPr>
                <w:rFonts w:hint="default" w:ascii="DejaVu Math TeX Gyre" w:hAnsi="DejaVu Math TeX Gyre" w:cs="DejaVu Math TeX Gyre"/>
                <w:bCs w:val="0"/>
                <w:i/>
                <w:iCs w:val="0"/>
                <w:caps w:val="0"/>
                <w:color w:val="000000"/>
                <w:spacing w:val="0"/>
                <w:kern w:val="0"/>
                <w:sz w:val="21"/>
                <w:szCs w:val="21"/>
                <w:shd w:val="clear" w:fill="FFFFFF"/>
                <w:lang w:val="en-US"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1+a</m:t>
            </m:r>
            <m:ctrlPr>
              <w:rPr>
                <w:rFonts w:hint="default" w:ascii="DejaVu Math TeX Gyre" w:hAnsi="DejaVu Math TeX Gyre" w:cs="DejaVu Math TeX Gyre"/>
                <w:bCs w:val="0"/>
                <w:i/>
                <w:iCs w:val="0"/>
                <w:caps w:val="0"/>
                <w:color w:val="000000"/>
                <w:spacing w:val="0"/>
                <w:kern w:val="0"/>
                <w:sz w:val="21"/>
                <w:szCs w:val="21"/>
                <w:shd w:val="clear" w:fill="FFFFFF"/>
                <w:lang w:val="en-US"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，则题干所求为</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14.92</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525.79</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f>
          <m:fPr>
            <m:ctrlPr>
              <w:rPr>
                <w:rFonts w:hint="default" w:ascii="DejaVu Math TeX Gyre" w:hAnsi="DejaVu Math TeX Gyre" w:cs="DejaVu Math TeX Gyre"/>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−14.28%−1.96%</m:t>
            </m:r>
            <m:ctrlPr>
              <w:rPr>
                <w:rFonts w:hint="default" w:ascii="DejaVu Math TeX Gyre" w:hAnsi="DejaVu Math TeX Gyre" w:cs="DejaVu Math TeX Gyre"/>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1+(−14.28%)</m:t>
            </m:r>
            <m:ctrlPr>
              <w:rPr>
                <w:rFonts w:hint="default" w:ascii="DejaVu Math TeX Gyre" w:hAnsi="DejaVu Math TeX Gyre" w:cs="DejaVu Math TeX Gyre"/>
                <w:bCs w:val="0"/>
                <w:i w:val="0"/>
                <w:iCs/>
                <w:caps w:val="0"/>
                <w:color w:val="000000"/>
                <w:spacing w:val="0"/>
                <w:kern w:val="0"/>
                <w:sz w:val="21"/>
                <w:szCs w:val="21"/>
                <w:shd w:val="clear" w:fill="FFFFFF"/>
                <w:lang w:val="en-US" w:bidi="ar"/>
              </w:rPr>
            </m:ctrlPr>
          </m:den>
        </m:f>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f>
          <m:fP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15</m:t>
            </m: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530</m:t>
            </m: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ascii="DejaVu Math TeX Gyre" w:hAnsi="DejaVu Math TeX Gyre" w:cs="DejaVu Math TeX Gyre"/>
            <w:caps w:val="0"/>
            <w:color w:val="000000"/>
            <w:spacing w:val="0"/>
            <w:kern w:val="0"/>
            <w:sz w:val="21"/>
            <w:szCs w:val="21"/>
            <w:shd w:val="clear" w:fill="FFFFFF"/>
            <w:lang w:val="en-US" w:bidi="ar"/>
          </w:rPr>
          <m:t>×</m:t>
        </m:r>
        <m:f>
          <m:fP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−16.2%</m:t>
            </m: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0.86</m:t>
            </m: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2.8%×</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−19%</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−0.53%</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，即约下降了0.53个百分点。在D项范围内。</w:t>
      </w:r>
    </w:p>
    <w:p w14:paraId="5D79F7D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故正确答案为D。</w:t>
      </w:r>
    </w:p>
    <w:p w14:paraId="1F47CC9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55D8DEE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113.A</w:t>
      </w:r>
    </w:p>
    <w:p w14:paraId="157E6E0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上半年······同比上升的有几类”，结合材料给出2024年上半年各小类医药保健品进口额、出口额及分别的同比增速，可判定本题为混合增长率问题。定位统计表可得2024年上半年，医药保健品12个小类进口额、出口额及分别的同比增速。根据混合增长率口诀“混合居中不正中，偏向基期较大的（一般用现期代替）”，观察可知中成药、保健品、西药原料、生化药、保健康复用品、口腔设备与材料这6类的进、出口额同比增速均大于0，则进出口总额同比增速也大于0，则同比上升，均满足；中药材及饮片、医用敷料进、出口额同比增速均小于0，则进出口总额同比增速也小于0，则同比下降，均不满足；其余类别进、出口额同比增速一正一负，其中提取物：现期量出口额14.92亿美元&gt;进口额3.58亿美元，则</w:t>
      </w:r>
      <m:oMath>
        <m:r>
          <m:rPr/>
          <w:rPr>
            <w:rFonts w:hint="default" w:ascii="DejaVu Math TeX Gyre" w:hAnsi="DejaVu Math TeX Gyre" w:cstheme="minorEastAsia"/>
            <w:caps w:val="0"/>
            <w:color w:val="000000"/>
            <w:spacing w:val="0"/>
            <w:kern w:val="0"/>
            <w:sz w:val="21"/>
            <w:szCs w:val="21"/>
            <w:shd w:val="clear" w:fill="FFFFFF"/>
            <w:lang w:val="en-US" w:eastAsia="zh-CN" w:bidi="ar"/>
          </w:rPr>
          <m:t>−14.28%</m:t>
        </m:r>
        <m:r>
          <m:rPr/>
          <w:rPr>
            <w:rFonts w:hint="eastAsia" w:ascii="DejaVu Math TeX Gyre" w:hAnsi="DejaVu Math TeX Gyre" w:cstheme="minorEastAsia"/>
            <w:caps w:val="0"/>
            <w:color w:val="000000"/>
            <w:spacing w:val="0"/>
            <w:kern w:val="0"/>
            <w:sz w:val="21"/>
            <w:szCs w:val="21"/>
            <w:shd w:val="clear" w:fill="FFFFFF"/>
            <w:lang w:val="en-US" w:eastAsia="zh-CN" w:bidi="ar"/>
          </w:rPr>
          <m:t>＜</m:t>
        </m:r>
        <m:sSub>
          <m:sSubP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r</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进出口额</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sub>
        </m:sSub>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−14.28%+7.34%</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=−3.47%</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，即r&lt;0，则同比下降，不满足；西成药：现期量进口额110.28亿美元&gt;出口额35.24亿美元，则</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-17.51%＜</w:t>
      </w:r>
      <m:oMath>
        <m:sSub>
          <m:sSubPr>
            <m:ctrlPr>
              <w:rPr>
                <w:rFonts w:ascii="DejaVu Math TeX Gyre" w:hAnsi="DejaVu Math TeX Gyre" w:cstheme="minorEastAsia"/>
                <w:bCs w:val="0"/>
                <w:i/>
                <w:iCs w:val="0"/>
                <w:caps w:val="0"/>
                <w:color w:val="000000"/>
                <w:spacing w:val="0"/>
                <w:kern w:val="0"/>
                <w:sz w:val="21"/>
                <w:szCs w:val="21"/>
                <w:shd w:val="clear" w:fill="FFFFFF"/>
                <w:lang w:val="en-US"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r</m:t>
            </m:r>
            <m:ctrlPr>
              <w:rPr>
                <w:rFonts w:ascii="DejaVu Math TeX Gyre" w:hAnsi="DejaVu Math TeX Gyre" w:cstheme="minorEastAsia"/>
                <w:bCs w:val="0"/>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进出口额</m:t>
            </m:r>
            <m:ctrlPr>
              <w:rPr>
                <w:rFonts w:ascii="DejaVu Math TeX Gyre" w:hAnsi="DejaVu Math TeX Gyre" w:cstheme="minorEastAsia"/>
                <w:bCs w:val="0"/>
                <w:i/>
                <w:iCs w:val="0"/>
                <w:caps w:val="0"/>
                <w:color w:val="000000"/>
                <w:spacing w:val="0"/>
                <w:kern w:val="0"/>
                <w:sz w:val="21"/>
                <w:szCs w:val="21"/>
                <w:shd w:val="clear" w:fill="FFFFFF"/>
                <w:lang w:val="en-US" w:bidi="ar"/>
              </w:rPr>
            </m:ctrlPr>
          </m:sub>
        </m:sSub>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−17.51%+14.61%</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=−1.45%</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，即r&lt;0，则同比下降，不满足；一次性耗材：现期量出口额48.81亿美元&gt;进口额19.55亿美元，则</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−3.05%+8.55%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=2.75%</m:t>
        </m:r>
        <m:r>
          <m:rPr/>
          <w:rPr>
            <w:rFonts w:hint="eastAsia" w:ascii="DejaVu Math TeX Gyre" w:hAnsi="DejaVu Math TeX Gyre" w:cstheme="minorEastAsia"/>
            <w:caps w:val="0"/>
            <w:color w:val="000000"/>
            <w:spacing w:val="0"/>
            <w:kern w:val="0"/>
            <w:sz w:val="21"/>
            <w:szCs w:val="21"/>
            <w:shd w:val="clear" w:fill="FFFFFF"/>
            <w:lang w:val="en-US" w:eastAsia="zh-CN" w:bidi="ar"/>
          </w:rPr>
          <m:t>＜</m:t>
        </m:r>
        <m:sSub>
          <m:sSub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r</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进出口额</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sub>
        </m:sSub>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8.55%</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，即r&gt;0，则同比上升，满足；医院诊断与治疗：现期量进口额138.23亿美元&gt;出口额103.95亿美元，则</w:t>
      </w:r>
      <m:oMath>
        <m:r>
          <m:rPr/>
          <w:rPr>
            <w:rFonts w:hint="default" w:ascii="DejaVu Math TeX Gyre" w:hAnsi="DejaVu Math TeX Gyre" w:cstheme="minorEastAsia"/>
            <w:caps w:val="0"/>
            <w:color w:val="000000"/>
            <w:spacing w:val="0"/>
            <w:kern w:val="0"/>
            <w:sz w:val="21"/>
            <w:szCs w:val="21"/>
            <w:shd w:val="clear" w:fill="FFFFFF"/>
            <w:lang w:val="en-US" w:eastAsia="zh-CN" w:bidi="ar"/>
          </w:rPr>
          <m:t>−6.59%</m:t>
        </m:r>
        <m:r>
          <m:rPr/>
          <w:rPr>
            <w:rFonts w:hint="eastAsia" w:ascii="DejaVu Math TeX Gyre" w:hAnsi="DejaVu Math TeX Gyre" w:cstheme="minorEastAsia"/>
            <w:caps w:val="0"/>
            <w:color w:val="000000"/>
            <w:spacing w:val="0"/>
            <w:kern w:val="0"/>
            <w:sz w:val="21"/>
            <w:szCs w:val="21"/>
            <w:shd w:val="clear" w:fill="FFFFFF"/>
            <w:lang w:val="en-US" w:eastAsia="zh-CN" w:bidi="ar"/>
          </w:rPr>
          <m:t>＜</m:t>
        </m:r>
        <m:sSub>
          <m:sSubP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sSubPr>
          <m:e>
            <m:r>
              <m:rPr/>
              <w:rPr>
                <w:rFonts w:hint="eastAsia" w:ascii="DejaVu Math TeX Gyre" w:hAnsi="DejaVu Math TeX Gyre" w:cstheme="minorEastAsia"/>
                <w:caps w:val="0"/>
                <w:color w:val="000000"/>
                <w:spacing w:val="0"/>
                <w:kern w:val="0"/>
                <w:sz w:val="21"/>
                <w:szCs w:val="21"/>
                <w:shd w:val="clear" w:fill="FFFFFF"/>
                <w:lang w:val="en-US" w:eastAsia="zh-CN" w:bidi="ar"/>
              </w:rPr>
              <m:t>r</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进出口额</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sub>
        </m:sSub>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−6.59%+2.50%</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eastAsia"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=−2.045%</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，即r&lt;0，则同比下降，不满足。</w:t>
      </w:r>
    </w:p>
    <w:p w14:paraId="4902001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综上可知，2024年上半年进出口总额同比上升的有中成药、保健品、西药原料、生化药、一次性耗材、保健康复用品、口腔设备与材料，共7类。</w:t>
      </w:r>
    </w:p>
    <w:p w14:paraId="096AB3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故正确答案为A。</w:t>
      </w:r>
    </w:p>
    <w:p w14:paraId="56B07FE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3008F2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114.C</w:t>
      </w:r>
    </w:p>
    <w:p w14:paraId="5591EC1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上半年······同比增量从高到低排序······”，可判定本题为增长量比较问题。定位表格可得：2024年上半年，医用敷料、一次性耗材、保健康复用品、口腔设备与材料的进口额分别为2.60亿美元、19.55亿美元、9.04亿美元、7.31亿美元，同比增速分别为-8.34%、-3.05%、9.62%、14.27%。根据公式：增长量</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现期量</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增长率</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增长率</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，则以上四类医疗器械进口额的同比增量分别为：①医用敷料：</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2.60</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1−8.34%</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−8.34%</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2.60</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12</m:t>
                </m: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12</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2.60</m:t>
            </m: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11</m:t>
            </m: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−0.2</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亿美元；②一次性耗材：</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19.55</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1−3.05%</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−3.05%</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19.55</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33</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33</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19.55</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32</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−0.6</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亿美元；③保健康复用品：</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9.04</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1+9.62%</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9</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.62%</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9.04</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10.5</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10.5</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9.04</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11.5</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0.8</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亿美元；④口腔设备与材料：</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7.31</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1+14.27%</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14.27</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7.31</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7</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7</m:t>
            </m:r>
            <m:ctrl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7.31</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8</m:t>
            </m:r>
            <m:ctrl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0.9</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亿美元。比较可知，同比增量从高到低排序正确的是：④③①②。</w:t>
      </w:r>
    </w:p>
    <w:p w14:paraId="181E4B2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故正确答案为C。</w:t>
      </w:r>
    </w:p>
    <w:p w14:paraId="226D1D9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1773C2A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115.D</w:t>
      </w:r>
    </w:p>
    <w:p w14:paraId="4CE154D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最能准确反映2024年上半年······占比关系的是”，结合材料时间为2024年上半年，可判定本题为现期比重问题。定位统计表可知：2024年上半年，西药原料出口额为213.43亿美元、进口额为51.78亿美元；西成药出口额为35.24亿美元、进口额为110.28亿美元；生化药出口额为20.71亿美元、进口额为97.84亿美元。则2024年上半年，西药原料（白色）进出口额=213.43+51.78=265.21亿美元，西成药（横线）进出口额=35.24+110.28=145.52亿美元，生化药（黑色）进出口额=20.71+97.84=118.55亿美元。可知西药原料（白色）进出口额最大，排除C项；西药原料（白色）与西成药（横线）倍数关系为</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265.21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145.52</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，排除A项；西成药（横线）与生化药（黑色）倍数关系为</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145.52</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118.55</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，排除B项。</w:t>
      </w:r>
    </w:p>
    <w:p w14:paraId="01189EE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故正确答案为D。</w:t>
      </w:r>
    </w:p>
    <w:p w14:paraId="74F4255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5373871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116.C</w:t>
      </w:r>
    </w:p>
    <w:p w14:paraId="56B27A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根据题干“2024年······比上年增长约多少万元/件”，可判定本题为增长量计算问题。定位文字材料可得：2024年，我国企业发明专利产业化平均收益为869.5万元/件，较上年增长4.8%。根据公式：增长量</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现期量</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增长率</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增长率</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，则所求</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869.5</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1+4.8%</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4.8%</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f>
          <m:fPr>
            <m:ctrlPr>
              <m:rPr/>
              <w:rPr>
                <w:rFonts w:hint="eastAsia" w:ascii="DejaVu Math TeX Gyre" w:hAnsi="DejaVu Math TeX Gyre" w:cs="DejaVu Math TeX Gyre"/>
                <w:b w:val="0"/>
                <w:i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869.5</m:t>
            </m:r>
            <m:ctrlPr>
              <m:rPr/>
              <w:rPr>
                <w:rFonts w:hint="eastAsia" w:ascii="DejaVu Math TeX Gyre" w:hAnsi="DejaVu Math TeX Gyre" w:cs="DejaVu Math TeX Gyre"/>
                <w:b w:val="0"/>
                <w:i w:val="0"/>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f>
              <m:fP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20</m:t>
                </m: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den>
            </m:f>
            <m:ctrlPr>
              <m:rPr/>
              <w:rPr>
                <w:rFonts w:hint="eastAsia" w:ascii="DejaVu Math TeX Gyre" w:hAnsi="DejaVu Math TeX Gyre" w:cs="DejaVu Math TeX Gyre"/>
                <w:b w:val="0"/>
                <w:i w:val="0"/>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20</m:t>
            </m: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869.5</m:t>
            </m: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21</m:t>
            </m:r>
            <m:ctrlPr>
              <m:rPr/>
              <w:rPr>
                <w:rFonts w:hint="default" w:ascii="DejaVu Math TeX Gyre" w:hAnsi="DejaVu Math TeX Gyre" w:cs="DejaVu Math TeX Gyre"/>
                <w:b w:val="0"/>
                <w:i w:val="0"/>
                <w:caps w:val="0"/>
                <w:color w:val="000000"/>
                <w:spacing w:val="0"/>
                <w:kern w:val="0"/>
                <w:sz w:val="21"/>
                <w:szCs w:val="21"/>
                <w:shd w:val="clear" w:fill="FFFFFF"/>
                <w:lang w:val="en-US" w:eastAsia="zh-CN" w:bidi="ar"/>
              </w:rPr>
            </m:ctrlPr>
          </m:den>
        </m:f>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41</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万元/件，与C项最接近。</w:t>
      </w:r>
    </w:p>
    <w:p w14:paraId="4B07F08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42F86C9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故正确答案为C。</w:t>
      </w:r>
    </w:p>
    <w:p w14:paraId="2CDD80B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109AAA1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117.B</w:t>
      </w:r>
    </w:p>
    <w:p w14:paraId="6DC3C09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定位统计表可得2020-2024年，我国企业的发明专利、实用新型专利、外观设计专利产业化率。将我国企业的各类专利按产业化率从高到低排序分别为：</w:t>
      </w:r>
    </w:p>
    <w:p w14:paraId="323B1F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2020年，外观设计专利（51.6%）、发明专利（44.9%）、实用新型专利（42.0%）；</w:t>
      </w:r>
    </w:p>
    <w:p w14:paraId="07F9310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2021年，外观设计专利（52.3%）、发明专利（46.8%）、实用新型专利（46.2%）；</w:t>
      </w:r>
    </w:p>
    <w:p w14:paraId="6A2ECF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2022年，外观设计专利（58.7%）、发明专利（48.1%）、实用新型专利（44.9%）；</w:t>
      </w:r>
    </w:p>
    <w:p w14:paraId="745765C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2023年，外观设计专利（66.0%）、实用新型专利（57.1%）、发明专利（51.3%）；</w:t>
      </w:r>
    </w:p>
    <w:p w14:paraId="776BB51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2024年，外观设计专利（63.5%）、实用新型专利（54.9%）、发明专利（53.3%）。</w:t>
      </w:r>
    </w:p>
    <w:p w14:paraId="1233EE0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则2020~2023年中次序与2024年次序一致的年份是2023年，共1个。</w:t>
      </w:r>
    </w:p>
    <w:p w14:paraId="0EACAD0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故正确答案为B。</w:t>
      </w:r>
    </w:p>
    <w:p w14:paraId="63E47D0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0173094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118.A</w:t>
      </w:r>
    </w:p>
    <w:p w14:paraId="24302DF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约是······的多少倍”，结合材料时间为2024年，可判定本题为现期倍数问题。定位文字材料可得：2024年，我国中型企业发明专利产业化平均收益（平均每件已产业化的有效专利产生的收益）为991.9万元/件，大型企业为953.9万元/件；定位统计表可得：2024年我国大型企业专利产业化率为49.5%，中型企业为61.4%。有效发明专利中包括已产业化专利和未产业化专利，则平均每拥有1件有效发明专利产生的专利产业化收益</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已产业化专利数量</m:t>
            </m:r>
            <m:r>
              <m:rPr>
                <m:sty m:val="p"/>
              </m:rPr>
              <w:rPr>
                <w:rFonts w:ascii="DejaVu Math TeX Gyre" w:hAnsi="DejaVu Math TeX Gyre" w:cstheme="minorEastAsia"/>
                <w:caps w:val="0"/>
                <w:color w:val="000000"/>
                <w:spacing w:val="0"/>
                <w:kern w:val="0"/>
                <w:sz w:val="21"/>
                <w:szCs w:val="21"/>
                <w:shd w:val="clear" w:fill="FFFFFF"/>
                <w:lang w:val="en-US"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产业化平均收益</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未产业化专利数量</m:t>
            </m:r>
            <m:r>
              <m:rPr>
                <m:sty m:val="p"/>
              </m:rPr>
              <w:rPr>
                <w:rFonts w:ascii="DejaVu Math TeX Gyre" w:hAnsi="DejaVu Math TeX Gyre" w:cstheme="minorEastAsia"/>
                <w:caps w:val="0"/>
                <w:color w:val="000000"/>
                <w:spacing w:val="0"/>
                <w:kern w:val="0"/>
                <w:sz w:val="21"/>
                <w:szCs w:val="21"/>
                <w:shd w:val="clear" w:fill="FFFFFF"/>
                <w:lang w:val="en-US"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0</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有效发明专利总数量</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已产业化专利数量</m:t>
            </m: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有效发明专利总数量</m:t>
            </m:r>
            <m:ctrlPr>
              <m:rPr/>
              <w:rPr>
                <w:rFonts w:hint="default"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产业化平均收益</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专利产业化率</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产业化平均收益</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，则所求倍数</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49.5%</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953.9</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61.4%</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991.9</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50%</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950</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61%</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990</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475</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604</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0.79</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，与A项最接近。</w:t>
      </w:r>
    </w:p>
    <w:p w14:paraId="19F0F24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故正确答案为A。</w:t>
      </w:r>
    </w:p>
    <w:p w14:paraId="1A75D47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78E969B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119.C</w:t>
      </w:r>
    </w:p>
    <w:p w14:paraId="4418E14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同比增量超过······有几个”，可判定本题为增长量计算问题。定位统计图可知2023年及2024年我国不同行业企业发明专利产业化率。根据公式：增长量=现期量-基期量，本题所求企业发明专利产业化率的增长量，2024年企业发明专利产业化率相当于现期量，2023年企业发明专利产业化率相当于基期量，故2024年各行业企业发明专利产业化率的同比增量如下：</w:t>
      </w:r>
    </w:p>
    <w:p w14:paraId="2B7308E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研究和试验发展：32.5%-31.9%=0.6个百分点，不符合；</w:t>
      </w:r>
    </w:p>
    <w:p w14:paraId="0C325CA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专业技术服务业：34.2%-29.6%=4.6个百分点，符合；</w:t>
      </w:r>
    </w:p>
    <w:p w14:paraId="6AAD69C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医药制造业：46.8%-43.0%=3.8个百分点，符合；</w:t>
      </w:r>
    </w:p>
    <w:p w14:paraId="4C257F5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计算机、通信和其他电子设备制造业：50.8%&lt;52.2%，即同比减少，不符合；</w:t>
      </w:r>
    </w:p>
    <w:p w14:paraId="6B0947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软件和信息技术服务业：54.9%&lt;55.3%，即同比减少，不符合；</w:t>
      </w:r>
    </w:p>
    <w:p w14:paraId="5B0F8C1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汽车制造业：62.2%&lt;63.3%，即同比减少，不符合；</w:t>
      </w:r>
    </w:p>
    <w:p w14:paraId="25B5802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非金属矿物制造业：63.7%-57.8%=5.9个百分点，符合；</w:t>
      </w:r>
    </w:p>
    <w:p w14:paraId="0585B19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橡胶和塑料制品业：63.8%-62.5%=1.3个百分点，不符合；</w:t>
      </w:r>
    </w:p>
    <w:p w14:paraId="70F9BB0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化学原料和化学制品制造业：64.4%-57.4%=7.0个百分点，符合；</w:t>
      </w:r>
    </w:p>
    <w:p w14:paraId="6F6F046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金属制品业：64.9%-58.1%=6.8个百分点，符合；</w:t>
      </w:r>
    </w:p>
    <w:p w14:paraId="5E3505C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通用设备制造业：67.5%-61.6%=5.9个百分点，符合；</w:t>
      </w:r>
    </w:p>
    <w:p w14:paraId="3C1E368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专用设备制造业：68.9%-66.9%=2.0个百分点，不符合；</w:t>
      </w:r>
    </w:p>
    <w:p w14:paraId="18E8A08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电气机械和器材制造业：71.2%-63.8%=7.4个百分点，符合。</w:t>
      </w:r>
    </w:p>
    <w:p w14:paraId="2FB4736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综上，资料所列13个行业中，2024年企业发明专利产业化率同比增量超过3个百分点的有7个。</w:t>
      </w:r>
    </w:p>
    <w:p w14:paraId="3E0B054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故正确答案为C。</w:t>
      </w:r>
    </w:p>
    <w:p w14:paraId="571A0D5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7F59746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120.D</w:t>
      </w:r>
    </w:p>
    <w:p w14:paraId="239E45F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①定位文字材料可得：2024年，我国未来产业领域的企业发明专利产业化平均收益为1132.7万元/件。并未给出相较于2023年的增长率或增长量，故无法推出2023年未来产业领域企业发明专利产业化平均收益；</w:t>
      </w:r>
    </w:p>
    <w:p w14:paraId="30792FA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②定位文字材料可得：2024年，小型企业发明专利产业化平均收益为752.4万元/件，微型企业为260.1万元/件。并未给出小型企业和微型企业已产业化的有效专利数量，故无法推出2024年小微企业发明专利产业化总体平均收益；</w:t>
      </w:r>
    </w:p>
    <w:p w14:paraId="43A20CB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③定位统计表可知2023年大型企业发明专利产业化率；定位柱状图可知2023年金属制品业企业发明专利产业化率。并未给出金属制品业大型企业发明专利产业化率的情况，故无法推出2023年金属制品业大型企业发明专利产业化率。</w:t>
      </w:r>
    </w:p>
    <w:p w14:paraId="421DCB7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综上，3项均无法推出。</w:t>
      </w:r>
    </w:p>
    <w:p w14:paraId="0D29462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故正确答案为D。</w:t>
      </w:r>
    </w:p>
    <w:p w14:paraId="55303DF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4B92F19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121.B</w:t>
      </w:r>
    </w:p>
    <w:p w14:paraId="715458C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根据题干“2021~2024年······约是2017~2020年的多少倍”，结合材料已给出2017~2024年的相关数据，可判定本题为现期倍数问题。定位统计图1可得2017~2024年我国科幻产业营收额，则所求倍数倍</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w:p>
    <w:p w14:paraId="0F07815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829.6+877.5+1132.9+1089.6</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140.0+456.4+658.7+551.1</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830+880+1130+1090</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140+460+660+550</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3930</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1810</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2.2</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倍</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w:t>
      </w:r>
    </w:p>
    <w:p w14:paraId="03FAC7B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故正确答案为B。</w:t>
      </w:r>
    </w:p>
    <w:p w14:paraId="37CCC23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5A76ECD4">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122.D</w:t>
      </w:r>
    </w:p>
    <w:p w14:paraId="467A8F4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如保持2024年同比增量不变，则2026-2030年······将在以下哪个范围内”，结合材料时间为2022-2024年，可判定本题为现期计算问题。定位统计图2可得：2023年、2024年我国科幻游戏产业营收分别为：651.9亿元、718.1亿元。根据公式：增长量=现期量-基期量，则2024年我国科幻游戏产业营收同比增量=718.1-651.9=66.2亿元。根据公式：现期量=基期量+n×增长量（n为年份差），则2026年营收=718.1+66.2×2=850.5亿元。可知2026-2030年累计营收构成首项为850.5、公差为66.2、项数为5的等差数列，根据等差数列求和公式：</w:t>
      </w:r>
      <m:oMath>
        <m:sSub>
          <m:sSubPr>
            <m:ctrlPr>
              <w:rPr>
                <w:rFonts w:ascii="DejaVu Math TeX Gyre" w:hAnsi="DejaVu Math TeX Gyre" w:cstheme="minorEastAsia"/>
                <w:bCs w:val="0"/>
                <w:i/>
                <w:iCs w:val="0"/>
                <w:caps w:val="0"/>
                <w:color w:val="000000"/>
                <w:spacing w:val="0"/>
                <w:kern w:val="0"/>
                <w:sz w:val="21"/>
                <w:szCs w:val="21"/>
                <w:shd w:val="clear" w:fill="FFFFFF"/>
                <w:lang w:val="en-US" w:bidi="ar"/>
              </w:rPr>
            </m:ctrlPr>
          </m:sSubPr>
          <m:e>
            <m:r>
              <m:rPr/>
              <w:rPr>
                <w:rFonts w:hint="default" w:ascii="DejaVu Math TeX Gyre" w:hAnsi="DejaVu Math TeX Gyre" w:cstheme="minorEastAsia"/>
                <w:caps w:val="0"/>
                <w:color w:val="000000"/>
                <w:spacing w:val="0"/>
                <w:kern w:val="0"/>
                <w:sz w:val="21"/>
                <w:szCs w:val="21"/>
                <w:shd w:val="clear" w:fill="FFFFFF"/>
                <w:lang w:val="en-US" w:eastAsia="zh-CN" w:bidi="ar"/>
              </w:rPr>
              <m:t>S</m:t>
            </m:r>
            <m:ctrlPr>
              <w:rPr>
                <w:rFonts w:ascii="DejaVu Math TeX Gyre" w:hAnsi="DejaVu Math TeX Gyre" w:cstheme="minorEastAsia"/>
                <w:bCs w:val="0"/>
                <w:i/>
                <w:iCs w:val="0"/>
                <w:caps w:val="0"/>
                <w:color w:val="000000"/>
                <w:spacing w:val="0"/>
                <w:kern w:val="0"/>
                <w:sz w:val="21"/>
                <w:szCs w:val="21"/>
                <w:shd w:val="clear" w:fill="FFFFFF"/>
                <w:lang w:val="en-US" w:bidi="ar"/>
              </w:rPr>
            </m:ctrlPr>
          </m:e>
          <m:sub>
            <m:r>
              <m:rPr/>
              <w:rPr>
                <w:rFonts w:hint="eastAsia" w:ascii="DejaVu Math TeX Gyre" w:hAnsi="DejaVu Math TeX Gyre" w:cstheme="minorEastAsia"/>
                <w:caps w:val="0"/>
                <w:color w:val="000000"/>
                <w:spacing w:val="0"/>
                <w:kern w:val="0"/>
                <w:sz w:val="21"/>
                <w:szCs w:val="21"/>
                <w:shd w:val="clear" w:fill="FFFFFF"/>
                <w:lang w:val="en-US" w:eastAsia="zh-CN" w:bidi="ar"/>
              </w:rPr>
              <m:t>n</m:t>
            </m:r>
            <m:ctrlPr>
              <w:rPr>
                <w:rFonts w:ascii="DejaVu Math TeX Gyre" w:hAnsi="DejaVu Math TeX Gyre" w:cstheme="minorEastAsia"/>
                <w:bCs w:val="0"/>
                <w:i/>
                <w:iCs w:val="0"/>
                <w:caps w:val="0"/>
                <w:color w:val="000000"/>
                <w:spacing w:val="0"/>
                <w:kern w:val="0"/>
                <w:sz w:val="21"/>
                <w:szCs w:val="21"/>
                <w:shd w:val="clear" w:fill="FFFFFF"/>
                <w:lang w:val="en-US" w:bidi="ar"/>
              </w:rPr>
            </m:ctrlPr>
          </m:sub>
        </m:sSub>
        <m:r>
          <m:rPr/>
          <w:rPr>
            <w:rFonts w:hint="default" w:ascii="DejaVu Math TeX Gyre" w:hAnsi="DejaVu Math TeX Gyre" w:cstheme="minorEastAsia"/>
            <w:caps w:val="0"/>
            <w:color w:val="000000"/>
            <w:spacing w:val="0"/>
            <w:kern w:val="0"/>
            <w:sz w:val="21"/>
            <w:szCs w:val="21"/>
            <w:shd w:val="clear" w:fill="FFFFFF"/>
            <w:lang w:val="en-US" w:eastAsia="zh-CN" w:bidi="ar"/>
          </w:rPr>
          <m:t>=n</m:t>
        </m:r>
        <m:sSub>
          <m:sSub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bPr>
          <m:e>
            <m:r>
              <m:rPr/>
              <w:rPr>
                <w:rFonts w:hint="default" w:ascii="DejaVu Math TeX Gyre" w:hAnsi="DejaVu Math TeX Gyre" w:cstheme="minorEastAsia"/>
                <w:caps w:val="0"/>
                <w:color w:val="000000"/>
                <w:spacing w:val="0"/>
                <w:kern w:val="0"/>
                <w:sz w:val="21"/>
                <w:szCs w:val="21"/>
                <w:shd w:val="clear" w:fill="FFFFFF"/>
                <w:lang w:val="en-US" w:eastAsia="zh-CN" w:bidi="ar"/>
              </w:rPr>
              <m:t>a</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b>
            <m:r>
              <m:rPr/>
              <w:rPr>
                <w:rFonts w:hint="default" w:ascii="DejaVu Math TeX Gyre" w:hAnsi="DejaVu Math TeX Gyre" w:cstheme="minorEastAsia"/>
                <w:caps w:val="0"/>
                <w:color w:val="000000"/>
                <w:spacing w:val="0"/>
                <w:kern w:val="0"/>
                <w:sz w:val="21"/>
                <w:szCs w:val="21"/>
                <w:shd w:val="clear" w:fill="FFFFFF"/>
                <w:lang w:val="en-US" w:eastAsia="zh-CN" w:bidi="ar"/>
              </w:rPr>
              <m:t>1</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b>
        </m:sSub>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n</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(n−1)</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d</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（n为项数），则202</w:t>
      </w:r>
      <w:sdt>
        <w:sdtPr>
          <w:rPr>
            <w:rFonts w:ascii="DejaVu Math TeX Gyre" w:hAnsi="DejaVu Math TeX Gyre" w:eastAsiaTheme="minorEastAsia" w:cstheme="minorEastAsia"/>
            <w:b w:val="0"/>
            <w:bCs w:val="0"/>
            <w:i/>
            <w:iCs w:val="0"/>
            <w:caps w:val="0"/>
            <w:color w:val="000000"/>
            <w:spacing w:val="0"/>
            <w:kern w:val="0"/>
            <w:sz w:val="21"/>
            <w:szCs w:val="21"/>
            <w:shd w:val="clear" w:fill="FFFFFF"/>
            <w:lang w:val="en-US" w:eastAsia="zh-CN" w:bidi="ar"/>
          </w:rPr>
          <w:id w:val="729460891"/>
          <w:placeholder>
            <w:docPart w:val="DefaultPlaceholder_2098659788"/>
          </w:placeholder>
          <w:temporary/>
          <w:showingPlcHdr/>
          <w:equation/>
        </w:sdtPr>
        <w:sdtEndPr>
          <w:rPr>
            <w:rFonts w:ascii="DejaVu Math TeX Gyre" w:hAnsi="DejaVu Math TeX Gyre" w:eastAsiaTheme="minorEastAsia" w:cstheme="minorEastAsia"/>
            <w:b w:val="0"/>
            <w:bCs w:val="0"/>
            <w:i/>
            <w:iCs w:val="0"/>
            <w:caps w:val="0"/>
            <w:color w:val="000000"/>
            <w:spacing w:val="0"/>
            <w:kern w:val="0"/>
            <w:sz w:val="21"/>
            <w:szCs w:val="21"/>
            <w:shd w:val="clear" w:fill="FFFFFF"/>
            <w:lang w:val="en-US" w:eastAsia="zh-CN" w:bidi="ar"/>
          </w:rPr>
        </w:sdtEndPr>
        <w:sdtContent>
          <m:oMath>
            <m:r>
              <m:rPr>
                <m:sty m:val="p"/>
              </m:rPr>
              <w:rPr>
                <w:rFonts w:ascii="DejaVu Math TeX Gyre" w:hAnsi="DejaVu Math TeX Gyre"/>
                <w:color w:val="808080"/>
              </w:rPr>
              <m:t>在此处键入公式。</m:t>
            </m:r>
          </m:oMath>
        </w:sdtContent>
      </w:sdt>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6-2030年，我国科幻游戏产业累计营收</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r>
          <m:rPr/>
          <w:rPr>
            <w:rFonts w:hint="default" w:ascii="DejaVu Math TeX Gyre" w:hAnsi="DejaVu Math TeX Gyre" w:cstheme="minorEastAsia"/>
            <w:caps w:val="0"/>
            <w:color w:val="000000"/>
            <w:spacing w:val="0"/>
            <w:kern w:val="0"/>
            <w:sz w:val="21"/>
            <w:szCs w:val="21"/>
            <w:shd w:val="clear" w:fill="FFFFFF"/>
            <w:lang w:val="en-US" w:eastAsia="zh-CN" w:bidi="ar"/>
          </w:rPr>
          <m:t>5</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850.5+</m:t>
        </m:r>
        <m:f>
          <m:fP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4</m:t>
            </m: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m:t>
            </m: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66.2</m:t>
        </m:r>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5</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850+10</m:t>
        </m:r>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66.2=4250+662=4912</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亿元，在D项范围内。</w:t>
      </w:r>
    </w:p>
    <w:p w14:paraId="06B6D46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故正确答案为D。</w:t>
      </w:r>
    </w:p>
    <w:p w14:paraId="6E0E995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00578ED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123.C</w:t>
      </w:r>
    </w:p>
    <w:p w14:paraId="12CB344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2024年······同比增速快于2023年水平······”，可判定本题为一般增长率比较问题。定位统计图2可得：2024年我国科幻产业五大领域营收额分别为：35.1亿元、67.1亿元、718.1亿元、25.3亿元、244.0亿元；2023年我国科幻产业五大领域营收额分别为：31.7亿元、115.9亿元、651.9亿元、22.8亿元、310.6亿元；2022年我国科幻产业五大领域营收额分别为：30.4亿元、83.5亿元、565.0亿元、48.3亿元、150.3亿元，根据公式：增长率</w:t>
      </w:r>
      <m:oMath>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现期量</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基期量</m:t>
            </m:r>
            <m:ctrlPr>
              <m:r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num>
          <m:den>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基期量</m:t>
            </m:r>
            <m:ctrlPr>
              <m:r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可得：</w:t>
      </w:r>
    </w:p>
    <w:p w14:paraId="7A99AEE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2024年我国科幻产业五大领域营收额的同比增速分别如下：</w:t>
      </w:r>
    </w:p>
    <w:p w14:paraId="4A109C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科幻阅读：</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35.1−31.7</m:t>
            </m: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31.7</m:t>
            </m: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3.4</m:t>
            </m: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31.7</m:t>
            </m:r>
            <m:ctrlPr>
              <m:r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11%</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w:t>
      </w:r>
    </w:p>
    <w:p w14:paraId="62B4907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科幻影视：</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67.1</m:t>
            </m:r>
            <m:r>
              <m:rPr/>
              <w:rPr>
                <w:rFonts w:hint="default" w:ascii="DejaVu Math TeX Gyre" w:hAnsi="DejaVu Math TeX Gyre" w:cstheme="minorEastAsia"/>
                <w:caps w:val="0"/>
                <w:color w:val="000000"/>
                <w:spacing w:val="0"/>
                <w:kern w:val="0"/>
                <w:sz w:val="21"/>
                <w:szCs w:val="21"/>
                <w:shd w:val="clear" w:fill="FFFFFF"/>
                <w:lang w:val="en-US" w:eastAsia="zh-CN" w:bidi="ar"/>
              </w:rPr>
              <m:t>−115.9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115.9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−48</m:t>
            </m:r>
            <m:r>
              <m:rPr/>
              <w:rPr>
                <w:rFonts w:hint="default" w:ascii="DejaVu Math TeX Gyre" w:hAnsi="DejaVu Math TeX Gyre" w:cstheme="minorEastAsia"/>
                <w:caps w:val="0"/>
                <w:color w:val="000000"/>
                <w:spacing w:val="0"/>
                <w:kern w:val="0"/>
                <w:sz w:val="21"/>
                <w:szCs w:val="21"/>
                <w:shd w:val="clear" w:fill="FFFFFF"/>
                <w:lang w:val="en-US" w:eastAsia="zh-CN" w:bidi="ar"/>
              </w:rPr>
              <m:t>.8</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115.9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m:t>
        </m:r>
      </m:oMath>
    </w:p>
    <w:p w14:paraId="48D8180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科幻游戏：</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718.1</m:t>
            </m:r>
            <m:r>
              <m:rPr/>
              <w:rPr>
                <w:rFonts w:hint="default" w:ascii="DejaVu Math TeX Gyre" w:hAnsi="DejaVu Math TeX Gyre" w:cstheme="minorEastAsia"/>
                <w:caps w:val="0"/>
                <w:color w:val="000000"/>
                <w:spacing w:val="0"/>
                <w:kern w:val="0"/>
                <w:sz w:val="21"/>
                <w:szCs w:val="21"/>
                <w:shd w:val="clear" w:fill="FFFFFF"/>
                <w:lang w:val="en-US" w:eastAsia="zh-CN" w:bidi="ar"/>
              </w:rPr>
              <m:t>−651.9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651.9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66.2</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651.9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10%</m:t>
        </m:r>
      </m:oMath>
    </w:p>
    <w:p w14:paraId="6356BBE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科幻衍生品：</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25.3</m:t>
            </m:r>
            <m:r>
              <m:rPr/>
              <w:rPr>
                <w:rFonts w:hint="default" w:ascii="DejaVu Math TeX Gyre" w:hAnsi="DejaVu Math TeX Gyre" w:cstheme="minorEastAsia"/>
                <w:caps w:val="0"/>
                <w:color w:val="000000"/>
                <w:spacing w:val="0"/>
                <w:kern w:val="0"/>
                <w:sz w:val="21"/>
                <w:szCs w:val="21"/>
                <w:shd w:val="clear" w:fill="FFFFFF"/>
                <w:lang w:val="en-US" w:eastAsia="zh-CN" w:bidi="ar"/>
              </w:rPr>
              <m:t>−22.8</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22.8</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2.5</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22.8</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m:t>
        </m:r>
      </m:oMath>
    </w:p>
    <w:p w14:paraId="5667293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科幻文旅：</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244.0</m:t>
            </m:r>
            <m:r>
              <m:rPr/>
              <w:rPr>
                <w:rFonts w:hint="default" w:ascii="DejaVu Math TeX Gyre" w:hAnsi="DejaVu Math TeX Gyre" w:cstheme="minorEastAsia"/>
                <w:caps w:val="0"/>
                <w:color w:val="000000"/>
                <w:spacing w:val="0"/>
                <w:kern w:val="0"/>
                <w:sz w:val="21"/>
                <w:szCs w:val="21"/>
                <w:shd w:val="clear" w:fill="FFFFFF"/>
                <w:lang w:val="en-US" w:eastAsia="zh-CN" w:bidi="ar"/>
              </w:rPr>
              <m:t>−310.6</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310.6</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−66.6</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310.6</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m:t>
        </m:r>
      </m:oMath>
    </w:p>
    <w:p w14:paraId="18C0AA0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2023年我国科幻产业五大领域营收额的同比增速分别如下：</w:t>
      </w:r>
    </w:p>
    <w:p w14:paraId="79D4983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科幻阅读：</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31.7−30.4</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30.4</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30.4</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4%</m:t>
        </m:r>
      </m:oMath>
    </w:p>
    <w:p w14:paraId="01F30A7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科幻影视：</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115.9</m:t>
            </m:r>
            <m:r>
              <m:rPr/>
              <w:rPr>
                <w:rFonts w:hint="default" w:ascii="DejaVu Math TeX Gyre" w:hAnsi="DejaVu Math TeX Gyre" w:cstheme="minorEastAsia"/>
                <w:caps w:val="0"/>
                <w:color w:val="000000"/>
                <w:spacing w:val="0"/>
                <w:kern w:val="0"/>
                <w:sz w:val="21"/>
                <w:szCs w:val="21"/>
                <w:shd w:val="clear" w:fill="FFFFFF"/>
                <w:lang w:val="en-US" w:eastAsia="zh-CN" w:bidi="ar"/>
              </w:rPr>
              <m:t>−83.5</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83.5</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32.4</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83.5</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m:t>
        </m:r>
      </m:oMath>
    </w:p>
    <w:p w14:paraId="100A0E4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科幻游戏：</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651.9</m:t>
            </m:r>
            <m:r>
              <m:rPr/>
              <w:rPr>
                <w:rFonts w:hint="default" w:ascii="DejaVu Math TeX Gyre" w:hAnsi="DejaVu Math TeX Gyre" w:cstheme="minorEastAsia"/>
                <w:caps w:val="0"/>
                <w:color w:val="000000"/>
                <w:spacing w:val="0"/>
                <w:kern w:val="0"/>
                <w:sz w:val="21"/>
                <w:szCs w:val="21"/>
                <w:shd w:val="clear" w:fill="FFFFFF"/>
                <w:lang w:val="en-US" w:eastAsia="zh-CN" w:bidi="ar"/>
              </w:rPr>
              <m:t>−565.0</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565.0</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86.9</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565.0</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15%</m:t>
        </m:r>
      </m:oMath>
    </w:p>
    <w:p w14:paraId="46E8F04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科幻衍生品：</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22.8</m:t>
            </m:r>
            <m:r>
              <m:rPr/>
              <w:rPr>
                <w:rFonts w:hint="default" w:ascii="DejaVu Math TeX Gyre" w:hAnsi="DejaVu Math TeX Gyre" w:cstheme="minorEastAsia"/>
                <w:caps w:val="0"/>
                <w:color w:val="000000"/>
                <w:spacing w:val="0"/>
                <w:kern w:val="0"/>
                <w:sz w:val="21"/>
                <w:szCs w:val="21"/>
                <w:shd w:val="clear" w:fill="FFFFFF"/>
                <w:lang w:val="en-US" w:eastAsia="zh-CN" w:bidi="ar"/>
              </w:rPr>
              <m:t>−48.3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48.3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−25.5</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48.3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m:t>
        </m:r>
      </m:oMath>
    </w:p>
    <w:p w14:paraId="7A7E36C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科幻文旅：</w:t>
      </w:r>
      <m:oMath>
        <m:r>
          <m:rPr/>
          <w:rPr>
            <w:rFonts w:hint="default" w:ascii="DejaVu Math TeX Gyre" w:hAnsi="DejaVu Math TeX Gyre" w:cstheme="minorEastAsia"/>
            <w:caps w:val="0"/>
            <w:color w:val="000000"/>
            <w:spacing w:val="0"/>
            <w:kern w:val="0"/>
            <w:sz w:val="21"/>
            <w:szCs w:val="21"/>
            <w:shd w:val="clear" w:fill="FFFFFF"/>
            <w:lang w:val="en-US" w:eastAsia="zh-CN" w:bidi="ar"/>
          </w:rPr>
          <m:t>r=</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310.6</m:t>
            </m:r>
            <m:r>
              <m:rPr/>
              <w:rPr>
                <w:rFonts w:hint="default" w:ascii="DejaVu Math TeX Gyre" w:hAnsi="DejaVu Math TeX Gyre" w:cstheme="minorEastAsia"/>
                <w:caps w:val="0"/>
                <w:color w:val="000000"/>
                <w:spacing w:val="0"/>
                <w:kern w:val="0"/>
                <w:sz w:val="21"/>
                <w:szCs w:val="21"/>
                <w:shd w:val="clear" w:fill="FFFFFF"/>
                <w:lang w:val="en-US" w:eastAsia="zh-CN" w:bidi="ar"/>
              </w:rPr>
              <m:t>−150.3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150.3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160.3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150.3</m:t>
            </m:r>
            <m:ctrlPr>
              <w:rPr>
                <w:rFonts w:hint="default" w:ascii="DejaVu Math TeX Gyre" w:hAnsi="DejaVu Math TeX Gyre" w:cstheme="minorEastAsia"/>
                <w:b w:val="0"/>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m:t>
        </m:r>
      </m:oMath>
    </w:p>
    <w:p w14:paraId="79D45DD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综上可知，我国科幻产业五大领域中，2024年营收额同比增速快于2023年水平的有科幻阅读、科幻衍生品两个领域。</w:t>
      </w:r>
    </w:p>
    <w:p w14:paraId="42A2A18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故正确答案为C。</w:t>
      </w:r>
    </w:p>
    <w:p w14:paraId="76FF81A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0A9923AC">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124.A</w:t>
      </w:r>
    </w:p>
    <w:p w14:paraId="5A42A22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2022~2024年······占······的比重超过20%的年份仅包括”，结合材料时间为2022~2024年，可判定本题为现期比重问题。定位图1可得：2022~2024年我国科幻产业营收额分别为877.5亿元、1132.9亿元、1089.6亿元；定位图2可得：2022~2024年我国科幻文旅营收额分别为150.3亿元、310.6亿元、244.0亿元。根据公式：比重</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部分</m:t>
            </m:r>
            <m:ctrl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num>
          <m:den>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整体</m:t>
            </m:r>
            <m:ctrl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，则2022~2024年，科幻文旅营收额占科幻产业营收额的比重分别为：</w:t>
      </w:r>
    </w:p>
    <w:p w14:paraId="5FCF494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eastAsia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2022年：</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150.3</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877.5</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150.3</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880</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17%</m:t>
        </m:r>
      </m:oMath>
    </w:p>
    <w:p w14:paraId="30BF5F9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2023年：</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310.6</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1132.9</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310.6</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1100</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28%</m:t>
        </m:r>
      </m:oMath>
    </w:p>
    <w:p w14:paraId="3FAAB7D8">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2024年：</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244.0</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1089.6</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244</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1100</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22%</m:t>
        </m:r>
      </m:oMath>
    </w:p>
    <w:p w14:paraId="726D6FB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综上所述，2022~2024年，科幻文旅营收额占科幻产业营收额的比重超过20%的年份仅包括2023和2024年。</w:t>
      </w:r>
    </w:p>
    <w:p w14:paraId="1B76ED1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故正确答案为A。</w:t>
      </w:r>
    </w:p>
    <w:p w14:paraId="5B56747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608A02F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125.D</w:t>
      </w:r>
    </w:p>
    <w:p w14:paraId="2B7D259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我国科幻产业营收额同比增量的变化情况······”，可判定本题为增长量比较问题。定位图1可知2017~2024年我国科幻产业各年度营收额，根据公式：增长量=现期量-基期量，则选项中各年份增长量分别为：</w:t>
      </w:r>
    </w:p>
    <w:p w14:paraId="505362C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A项：2021年，829.6-551.1=278.5亿元；2022年，877.5-829.6=47.9亿元；2023年，1132.9-877.5=255.4亿元，题干图中第三年增长量为负，排除。</w:t>
      </w:r>
    </w:p>
    <w:p w14:paraId="42C13D0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B项：2020年，551.1-658.7=-107.6亿元，题干图中第一年增长量为正，排除。</w:t>
      </w:r>
    </w:p>
    <w:p w14:paraId="7903E23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C项：2019年，658.6-456.4=202.2亿元；2020年，551.1-658.7=-107.6亿元，题干图中第二年增长量为正，排除。</w:t>
      </w:r>
    </w:p>
    <w:p w14:paraId="5410A0D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D项：2018年，456.4-140.0=316.4亿元；2019年，658.6-456.4=202.2亿元；2020年，551.1-658.7=-107.6亿元；2021年，829.6-551.1=278.5亿元，符合题干图形的变化情况，当选。</w:t>
      </w:r>
    </w:p>
    <w:p w14:paraId="7B0BC33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故正确答案为D。</w:t>
      </w:r>
    </w:p>
    <w:p w14:paraId="1503922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01764C7E">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126.B</w:t>
      </w:r>
    </w:p>
    <w:p w14:paraId="1C7A4EC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接待游客总人次数比上年增长了”，结合选项带单位，可判定本题为增长量计算问题。定位文字材料第一、二、三段可得：2025年清明假期，Y省接待游客2110.5万人次，同比增长6.4%；“五一”假期，Y省接待游客4608.2万人次，同比增长18.7%；端午假期，Y省接待游客2321.0万人次，同比增长20.6%。根据公式：增长量</w:t>
      </w:r>
      <m:oMath>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现期量</m:t>
            </m:r>
            <m:ctrlPr>
              <m:r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1+r</m:t>
            </m:r>
            <m:ctrlPr>
              <m:r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r</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，可得所求</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2110.5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1+6.4%</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6.4%+</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4680.2</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1+18.7%</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18.7%+</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2321.0</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1+20.6%</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20.6%</m:t>
        </m:r>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2110.5</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16</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16</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4608</m:t>
            </m:r>
            <m:r>
              <m:rPr/>
              <w:rPr>
                <w:rFonts w:hint="eastAsia"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3</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1+</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5.3</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5.3</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2321.0</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1+</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5</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1</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5</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2110.5</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17</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4608.2</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6.3</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DejaVu Math TeX Gyre"/>
                <w:caps w:val="0"/>
                <w:color w:val="000000"/>
                <w:spacing w:val="0"/>
                <w:kern w:val="0"/>
                <w:sz w:val="21"/>
                <w:szCs w:val="21"/>
                <w:shd w:val="clear" w:fill="FFFFFF"/>
                <w:lang w:val="en-US" w:eastAsia="zh-CN" w:bidi="ar"/>
              </w:rPr>
              <m:t>2321.0</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DejaVu Math TeX Gyre"/>
                <w:caps w:val="0"/>
                <w:color w:val="000000"/>
                <w:spacing w:val="0"/>
                <w:kern w:val="0"/>
                <w:sz w:val="21"/>
                <w:szCs w:val="21"/>
                <w:shd w:val="clear" w:fill="FFFFFF"/>
                <w:lang w:val="en-US" w:eastAsia="zh-CN" w:bidi="ar"/>
              </w:rPr>
              <m:t>6</m:t>
            </m:r>
            <m:ctrlPr>
              <m:rPr/>
              <w:rPr>
                <w:rFonts w:hint="default" w:ascii="DejaVu Math TeX Gyre" w:hAnsi="DejaVu Math TeX Gyre" w:cs="DejaVu Math TeX Gyre"/>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DejaVu Math TeX Gyre"/>
            <w:caps w:val="0"/>
            <w:color w:val="000000"/>
            <w:spacing w:val="0"/>
            <w:kern w:val="0"/>
            <w:sz w:val="21"/>
            <w:szCs w:val="21"/>
            <w:shd w:val="clear" w:fill="FFFFFF"/>
            <w:lang w:val="en-US" w:eastAsia="zh-CN"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124+731+387=1242</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万人次，在B项范围内。</w:t>
      </w:r>
    </w:p>
    <w:p w14:paraId="35CACCE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故正确答案为B。</w:t>
      </w:r>
    </w:p>
    <w:p w14:paraId="42035C4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bCs/>
          <w:i w:val="0"/>
          <w:iCs w:val="0"/>
          <w:caps w:val="0"/>
          <w:color w:val="000000"/>
          <w:spacing w:val="0"/>
          <w:kern w:val="0"/>
          <w:sz w:val="21"/>
          <w:szCs w:val="21"/>
          <w:shd w:val="clear" w:fill="FFFFFF"/>
          <w:lang w:val="en-US" w:eastAsia="zh-CN" w:bidi="ar"/>
        </w:rPr>
      </w:pPr>
    </w:p>
    <w:p w14:paraId="732BD36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bCs/>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bCs/>
          <w:i w:val="0"/>
          <w:iCs w:val="0"/>
          <w:caps w:val="0"/>
          <w:color w:val="000000"/>
          <w:spacing w:val="0"/>
          <w:kern w:val="0"/>
          <w:sz w:val="21"/>
          <w:szCs w:val="21"/>
          <w:shd w:val="clear" w:fill="FFFFFF"/>
          <w:lang w:val="en-US" w:eastAsia="zh-CN" w:bidi="ar"/>
        </w:rPr>
        <w:t>127.A</w:t>
      </w:r>
    </w:p>
    <w:p w14:paraId="3ADA4EA5">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2025年······平均每接待1人次游客产生的旅游收入比清明假期”，结合选项为高/低+百分数，可判定本题为平均数的增长率问题。定位材料第一、二段可得：2025年清明假期3天，Y省接待游客2110.5万人次；实现旅游收入107.8亿元。2025年“五一”假期5天，Y省接待游客4608.2万人次；实现旅游收入295亿元。根据公式：平均每接待1人次游客产生的旅游收入</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旅游收入</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接待游客人次数</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，故“五一”假期平均每接待1人次游客产生的旅游收入为</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295</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亿元</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4608.2</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万人次</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，清明假期平均每接待1人次游客产生的旅游收入为</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107.8</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亿元</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2110.5</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万人次</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，则所求为</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295</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亿元</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4608.2</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万人次</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bidi="ar"/>
          </w:rPr>
          <m:t>÷</m:t>
        </m:r>
        <m:f>
          <m:fPr>
            <m:ctrlPr>
              <w:rPr>
                <w:rFonts w:hint="default" w:ascii="DejaVu Math TeX Gyre" w:hAnsi="DejaVu Math TeX Gyre" w:cs="DejaVu Math TeX Gyre"/>
                <w:bCs w:val="0"/>
                <w:i w:val="0"/>
                <w:iCs/>
                <w:caps w:val="0"/>
                <w:color w:val="000000"/>
                <w:spacing w:val="0"/>
                <w:kern w:val="0"/>
                <w:sz w:val="21"/>
                <w:szCs w:val="21"/>
                <w:shd w:val="clear" w:fill="FFFFFF"/>
                <w:lang w:val="en-US"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107.8</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亿元</m:t>
            </m:r>
            <m:ctrlPr>
              <w:rPr>
                <w:rFonts w:hint="default" w:ascii="DejaVu Math TeX Gyre" w:hAnsi="DejaVu Math TeX Gyre" w:cs="DejaVu Math TeX Gyre"/>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2110.5</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万人次</m:t>
            </m:r>
            <m:ctrlPr>
              <w:rPr>
                <w:rFonts w:hint="default" w:ascii="DejaVu Math TeX Gyre" w:hAnsi="DejaVu Math TeX Gyre" w:cs="DejaVu Math TeX Gyre"/>
                <w:bCs w:val="0"/>
                <w:i w:val="0"/>
                <w:iCs/>
                <w:caps w:val="0"/>
                <w:color w:val="000000"/>
                <w:spacing w:val="0"/>
                <w:kern w:val="0"/>
                <w:sz w:val="21"/>
                <w:szCs w:val="21"/>
                <w:shd w:val="clear" w:fill="FFFFFF"/>
                <w:lang w:val="en-US"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f>
          <m:fP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295</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4608.2</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2110.5</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107.8</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f>
          <m:fP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300</m:t>
            </m: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4600</m:t>
            </m:r>
            <m:ctrlPr>
              <m:rPr/>
              <w:rPr>
                <w:rFonts w:hint="eastAsia"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f>
          <m:fP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2100</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110</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f>
          <m:fP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630</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506</m:t>
            </m:r>
            <m:ctrlPr>
              <m:rPr/>
              <w:rPr>
                <w:rFonts w:hint="default" w:ascii="DejaVu Math TeX Gyre" w:hAnsi="DejaVu Math TeX Gyre" w:cs="DejaVu Math TeX Gyre"/>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−1</m:t>
        </m:r>
        <m:r>
          <m:rPr>
            <m:sty m:val="p"/>
          </m:rPr>
          <w:rPr>
            <w:rFonts w:hint="eastAsia"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25%</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，即约高25%，在A项范围内。</w:t>
      </w:r>
    </w:p>
    <w:p w14:paraId="3806395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故正确答案为A。</w:t>
      </w:r>
    </w:p>
    <w:p w14:paraId="1359742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bCs/>
          <w:i w:val="0"/>
          <w:iCs w:val="0"/>
          <w:caps w:val="0"/>
          <w:color w:val="000000"/>
          <w:spacing w:val="0"/>
          <w:kern w:val="0"/>
          <w:sz w:val="21"/>
          <w:szCs w:val="21"/>
          <w:shd w:val="clear" w:fill="FFFFFF"/>
          <w:lang w:val="en-US" w:eastAsia="zh-CN" w:bidi="ar"/>
        </w:rPr>
      </w:pPr>
    </w:p>
    <w:p w14:paraId="571F014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128.C</w:t>
      </w:r>
    </w:p>
    <w:p w14:paraId="5264574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将Y省2024年······日均······”，结合材料时间为2025年，可判定本题为基期平均数问题。定位文字材料第一、二、三段可得：2025年清明假期3天······实现旅游收入107.8亿元，同比增长8.7%；2025年“五一”假期5天······实现旅游收入295亿元，同比增长20.3%；2025年端午假期3天······实现旅游收入114.4亿元，同比增长25.6%。根据公式：基期量</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现期量</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1+r</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，则2024年清明假期日均实现旅游收入为</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107.8</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1+8.7%</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m:t>
        </m:r>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36</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33</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亿元/天，2024年“五一”假期日均实现旅游收入为</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295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1+20.3%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5</m:t>
        </m:r>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59</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1.2</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49</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亿元/天，2024年端午假期日均实现旅游收入为</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114.4</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1+25.6%</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DejaVu Math TeX Gyre"/>
            <w:caps w:val="0"/>
            <w:color w:val="000000"/>
            <w:spacing w:val="0"/>
            <w:kern w:val="0"/>
            <w:sz w:val="21"/>
            <w:szCs w:val="21"/>
            <w:shd w:val="clear" w:fill="FFFFFF"/>
            <w:lang w:val="en-US" w:bidi="ar"/>
          </w:rPr>
          <m:t>÷</m:t>
        </m:r>
        <m:r>
          <m:rPr/>
          <w:rPr>
            <w:rFonts w:hint="default" w:ascii="DejaVu Math TeX Gyre" w:hAnsi="DejaVu Math TeX Gyre" w:cs="DejaVu Math TeX Gyre"/>
            <w:caps w:val="0"/>
            <w:color w:val="000000"/>
            <w:spacing w:val="0"/>
            <w:kern w:val="0"/>
            <w:sz w:val="21"/>
            <w:szCs w:val="21"/>
            <w:shd w:val="clear" w:fill="FFFFFF"/>
            <w:lang w:val="en-US" w:eastAsia="zh-CN" w:bidi="ar"/>
          </w:rPr>
          <m:t>3</m:t>
        </m:r>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38</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1.3</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29</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亿元/天。故Y省2024年日均实现旅游收入从高到低排列为“五一”假期、清明假期、端午假期。</w:t>
      </w:r>
    </w:p>
    <w:p w14:paraId="1B37F6E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故正确答案为C。</w:t>
      </w:r>
    </w:p>
    <w:p w14:paraId="78F899E6">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04A4C3D9">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129.B</w:t>
      </w:r>
    </w:p>
    <w:p w14:paraId="76E6671D">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2025年······平均每万人次······”，结合材料时间为2025年，可判定本题为现期平均数问题。定位文字材料第一、二、三段可得2025年清明假期、“五一”假期、端午假期Y省接待游客人次数以及纳入监测的13家红色旅游经典景区接待游客人次数。则题干所求</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54.7+119.5+54.4</m:t>
            </m:r>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ascii="DejaVu Math TeX Gyre" w:hAnsi="DejaVu Math TeX Gyre" w:cstheme="minorEastAsia"/>
                <w:caps w:val="0"/>
                <w:color w:val="000000"/>
                <w:spacing w:val="0"/>
                <w:kern w:val="0"/>
                <w:sz w:val="21"/>
                <w:szCs w:val="21"/>
                <w:shd w:val="clear" w:fill="FFFFFF"/>
                <w:lang w:val="en-US" w:bidi="ar"/>
              </w:rPr>
              <m:t>×</m:t>
            </m:r>
            <m:sSup>
              <m:sSupPr>
                <m:ctrlPr>
                  <m:rPr/>
                  <w:rPr>
                    <w:rFonts w:ascii="DejaVu Math TeX Gyre" w:hAnsi="DejaVu Math TeX Gyre" w:cstheme="minorEastAsia"/>
                    <w:bCs w:val="0"/>
                    <w:i w:val="0"/>
                    <w:iCs/>
                    <w:caps w:val="0"/>
                    <w:color w:val="000000"/>
                    <w:spacing w:val="0"/>
                    <w:kern w:val="0"/>
                    <w:sz w:val="21"/>
                    <w:szCs w:val="21"/>
                    <w:shd w:val="clear" w:fill="FFFFFF"/>
                    <w:lang w:val="en-US" w:bidi="ar"/>
                  </w:rPr>
                </m:ctrlPr>
              </m:sSupPr>
              <m:e>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10</m:t>
                </m:r>
                <m:ctrlPr>
                  <m:rPr/>
                  <w:rPr>
                    <w:rFonts w:ascii="DejaVu Math TeX Gyre" w:hAnsi="DejaVu Math TeX Gyre" w:cstheme="minorEastAsia"/>
                    <w:bCs w:val="0"/>
                    <w:i w:val="0"/>
                    <w:iCs/>
                    <w:caps w:val="0"/>
                    <w:color w:val="000000"/>
                    <w:spacing w:val="0"/>
                    <w:kern w:val="0"/>
                    <w:sz w:val="21"/>
                    <w:szCs w:val="21"/>
                    <w:shd w:val="clear" w:fill="FFFFFF"/>
                    <w:lang w:val="en-US" w:bidi="ar"/>
                  </w:rPr>
                </m:ctrlPr>
              </m:e>
              <m:sup>
                <m:r>
                  <m:rPr>
                    <m:sty m:val="p"/>
                  </m:rPr>
                  <w:rPr>
                    <w:rFonts w:hint="default" w:ascii="DejaVu Math TeX Gyre" w:hAnsi="DejaVu Math TeX Gyre" w:cstheme="minorEastAsia"/>
                    <w:caps w:val="0"/>
                    <w:color w:val="000000"/>
                    <w:spacing w:val="0"/>
                    <w:kern w:val="0"/>
                    <w:sz w:val="21"/>
                    <w:szCs w:val="21"/>
                    <w:shd w:val="clear" w:fill="FFFFFF"/>
                    <w:lang w:val="en-US" w:eastAsia="zh-CN" w:bidi="ar"/>
                  </w:rPr>
                  <m:t>4</m:t>
                </m:r>
                <m:ctrlPr>
                  <m:rPr/>
                  <w:rPr>
                    <w:rFonts w:ascii="DejaVu Math TeX Gyre" w:hAnsi="DejaVu Math TeX Gyre" w:cstheme="minorEastAsia"/>
                    <w:bCs w:val="0"/>
                    <w:i w:val="0"/>
                    <w:iCs/>
                    <w:caps w:val="0"/>
                    <w:color w:val="000000"/>
                    <w:spacing w:val="0"/>
                    <w:kern w:val="0"/>
                    <w:sz w:val="21"/>
                    <w:szCs w:val="21"/>
                    <w:shd w:val="clear" w:fill="FFFFFF"/>
                    <w:lang w:val="en-US" w:bidi="ar"/>
                  </w:rPr>
                </m:ctrlPr>
              </m:sup>
            </m:sSup>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2110.5+4608.2+2321.0</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fPr>
          <m:num>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2286000</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9040</m:t>
            </m:r>
            <m:ctrlPr>
              <m:rPr/>
              <w:rPr>
                <w:rFonts w:hint="eastAsia" w:ascii="DejaVu Math TeX Gyre" w:hAnsi="DejaVu Math TeX Gyre" w:cstheme="minorEastAsia"/>
                <w:bCs w:val="0"/>
                <w:i w:val="0"/>
                <w:iCs/>
                <w:caps w:val="0"/>
                <w:color w:val="000000"/>
                <w:spacing w:val="0"/>
                <w:kern w:val="0"/>
                <w:sz w:val="21"/>
                <w:szCs w:val="21"/>
                <w:shd w:val="clear" w:fill="FFFFFF"/>
                <w:lang w:val="en-US" w:eastAsia="zh-CN" w:bidi="ar"/>
              </w:rPr>
            </m:ctrlPr>
          </m:den>
        </m:f>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253</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人次，在B项范围内。</w:t>
      </w:r>
    </w:p>
    <w:p w14:paraId="6B225FA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故正确答案为B。</w:t>
      </w:r>
    </w:p>
    <w:p w14:paraId="04BE113A">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p>
    <w:p w14:paraId="105EB23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130.A</w:t>
      </w:r>
    </w:p>
    <w:p w14:paraId="3E119B33">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根据题干“以下柱状图反映了2025年······Y省接待游客哪一指标的变化情况······”，结合选项中涉及日均接待游客数，可判定本题为平均数问题。定位材料第一、二、三段可得2025年清明假期、“五一”假期和端午假期的天数、Y省接待游客各指标数据和同比增长率。根据公式：平均数</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val="0"/>
                <w:iCs/>
                <w:caps w:val="0"/>
                <w:color w:val="000000"/>
                <w:spacing w:val="0"/>
                <w:kern w:val="0"/>
                <w:sz w:val="21"/>
                <w:szCs w:val="21"/>
                <w:shd w:val="clear" w:fill="FFFFFF"/>
                <w:lang w:val="en-US"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总数</m:t>
            </m:r>
            <m:ctrlPr>
              <w:rPr>
                <w:rFonts w:ascii="DejaVu Math TeX Gyre" w:hAnsi="DejaVu Math TeX Gyre" w:cstheme="minorEastAsia"/>
                <w:bCs w:val="0"/>
                <w:i w:val="0"/>
                <w:iCs/>
                <w:caps w:val="0"/>
                <w:color w:val="000000"/>
                <w:spacing w:val="0"/>
                <w:kern w:val="0"/>
                <w:sz w:val="21"/>
                <w:szCs w:val="21"/>
                <w:shd w:val="clear" w:fill="FFFFFF"/>
                <w:lang w:val="en-US" w:bidi="ar"/>
              </w:rPr>
            </m:ctrlPr>
          </m:num>
          <m:den>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个数</m:t>
            </m:r>
            <m:ctrlPr>
              <w:rPr>
                <w:rFonts w:ascii="DejaVu Math TeX Gyre" w:hAnsi="DejaVu Math TeX Gyre" w:cstheme="minorEastAsia"/>
                <w:bCs w:val="0"/>
                <w:i w:val="0"/>
                <w:iCs/>
                <w:caps w:val="0"/>
                <w:color w:val="000000"/>
                <w:spacing w:val="0"/>
                <w:kern w:val="0"/>
                <w:sz w:val="21"/>
                <w:szCs w:val="21"/>
                <w:shd w:val="clear" w:fill="FFFFFF"/>
                <w:lang w:val="en-US" w:bidi="ar"/>
              </w:rPr>
            </m:ctrlPr>
          </m:den>
        </m:f>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，增长量</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fPr>
          <m:num>
            <m:r>
              <m:rPr>
                <m:sty m:val="p"/>
              </m:rPr>
              <w:rPr>
                <w:rFonts w:hint="eastAsia" w:ascii="DejaVu Math TeX Gyre" w:hAnsi="DejaVu Math TeX Gyre" w:cstheme="minorEastAsia"/>
                <w:caps w:val="0"/>
                <w:color w:val="000000"/>
                <w:spacing w:val="0"/>
                <w:kern w:val="0"/>
                <w:sz w:val="21"/>
                <w:szCs w:val="21"/>
                <w:shd w:val="clear" w:fill="FFFFFF"/>
                <w:lang w:val="en-US" w:eastAsia="zh-CN" w:bidi="ar"/>
              </w:rPr>
              <m:t>现期量</m:t>
            </m:r>
            <m:ctrl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num>
          <m:den>
            <m:r>
              <m:rPr>
                <m:sty m:val="p"/>
              </m:rPr>
              <w:rPr>
                <w:rFonts w:hint="default" w:ascii="DejaVu Math TeX Gyre" w:hAnsi="DejaVu Math TeX Gyre" w:cstheme="minorEastAsia"/>
                <w:caps w:val="0"/>
                <w:color w:val="000000"/>
                <w:spacing w:val="0"/>
                <w:kern w:val="0"/>
                <w:sz w:val="21"/>
                <w:szCs w:val="21"/>
                <w:shd w:val="clear" w:fill="FFFFFF"/>
                <w:lang w:val="en-US" w:eastAsia="zh-CN" w:bidi="ar"/>
              </w:rPr>
              <m:t>1+r</m:t>
            </m:r>
            <m:ctrlPr>
              <w:rPr>
                <w:rFonts w:hint="default" w:ascii="DejaVu Math TeX Gyre" w:hAnsi="DejaVu Math TeX Gyre" w:cstheme="minorEastAsia"/>
                <w:b w:val="0"/>
                <w:bCs w:val="0"/>
                <w:i w:val="0"/>
                <w:iCs/>
                <w:caps w:val="0"/>
                <w:color w:val="000000"/>
                <w:spacing w:val="0"/>
                <w:kern w:val="0"/>
                <w:sz w:val="21"/>
                <w:szCs w:val="21"/>
                <w:shd w:val="clear" w:fill="FFFFFF"/>
                <w:lang w:val="en-US" w:eastAsia="zh-CN" w:bidi="ar"/>
              </w:rPr>
            </m:ctrlPr>
          </m:den>
        </m:f>
        <m:r>
          <m:rPr>
            <m:sty m:val="p"/>
          </m:rPr>
          <w:rPr>
            <w:rFonts w:hint="default" w:ascii="DejaVu Math TeX Gyre" w:hAnsi="DejaVu Math TeX Gyre" w:cs="DejaVu Math TeX Gyre"/>
            <w:caps w:val="0"/>
            <w:color w:val="000000"/>
            <w:spacing w:val="0"/>
            <w:kern w:val="0"/>
            <w:sz w:val="21"/>
            <w:szCs w:val="21"/>
            <w:shd w:val="clear" w:fill="FFFFFF"/>
            <w:lang w:val="en-US" w:eastAsia="zh-CN" w:bidi="ar"/>
          </w:rPr>
          <m:t>×</m:t>
        </m:r>
        <m:r>
          <m:rPr>
            <m:sty m:val="p"/>
          </m:rPr>
          <w:rPr>
            <w:rFonts w:hint="default" w:ascii="DejaVu Math TeX Gyre" w:hAnsi="DejaVu Math TeX Gyre" w:cstheme="minorEastAsia"/>
            <w:caps w:val="0"/>
            <w:color w:val="000000"/>
            <w:spacing w:val="0"/>
            <w:kern w:val="0"/>
            <w:sz w:val="21"/>
            <w:szCs w:val="21"/>
            <w:shd w:val="clear" w:fill="FFFFFF"/>
            <w:lang w:val="en-US" w:eastAsia="zh-CN" w:bidi="ar"/>
          </w:rPr>
          <m:t>r</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，可得Y省接待游客各指标的数据情况如下：</w:t>
      </w:r>
    </w:p>
    <w:p w14:paraId="08073B50">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A项，纳入监测的13家红色旅游经典景区日均接待游客数同比增量：清明假期</w:t>
      </w:r>
      <w:r>
        <w:rPr>
          <w:rFonts w:hint="eastAsia" w:asciiTheme="minorEastAsia" w:hAnsiTheme="minorEastAsia" w:cstheme="minorEastAsia"/>
          <w:b w:val="0"/>
          <w:bCs w:val="0"/>
          <w:i w:val="0"/>
          <w:iCs w:val="0"/>
          <w:caps w:val="0"/>
          <w:color w:val="000000"/>
          <w:spacing w:val="0"/>
          <w:kern w:val="0"/>
          <w:sz w:val="21"/>
          <w:szCs w:val="21"/>
          <w:shd w:val="clear" w:fill="FFFFFF"/>
          <w:lang w:val="en-US" w:eastAsia="zh-CN" w:bidi="ar"/>
        </w:rPr>
        <w:t>，</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54.7</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1+5.1%</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5.1%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f>
              <m:fP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54.7</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20</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ascii="DejaVu Math TeX Gyre" w:hAnsi="DejaVu Math TeX Gyre" w:cstheme="minorEastAsia"/>
                <w:caps w:val="0"/>
                <w:color w:val="000000"/>
                <w:spacing w:val="0"/>
                <w:kern w:val="0"/>
                <w:sz w:val="21"/>
                <w:szCs w:val="21"/>
                <w:shd w:val="clear" w:fill="FFFFFF"/>
                <w:lang w:val="en-US" w:bidi="ar"/>
              </w:rPr>
              <m:t>×</m:t>
            </m:r>
            <m:f>
              <m:fPr>
                <m:ctrlPr>
                  <m:r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m:r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20</m:t>
                </m:r>
                <m:ctrlPr>
                  <m:rPr/>
                  <w:rPr>
                    <w:rFonts w:ascii="DejaVu Math TeX Gyre" w:hAnsi="DejaVu Math TeX Gyre" w:cstheme="minorEastAsia"/>
                    <w:bCs w:val="0"/>
                    <w:i/>
                    <w:iCs w:val="0"/>
                    <w:caps w:val="0"/>
                    <w:color w:val="000000"/>
                    <w:spacing w:val="0"/>
                    <w:kern w:val="0"/>
                    <w:sz w:val="21"/>
                    <w:szCs w:val="21"/>
                    <w:shd w:val="clear" w:fill="FFFFFF"/>
                    <w:lang w:val="en-US" w:bidi="ar"/>
                  </w:rPr>
                </m:ctrlPr>
              </m:den>
            </m:f>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m:r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54.7</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63</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0.87</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万人次；“五一”假期，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119.5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1+12%</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12%</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119.5</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8.3</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ascii="DejaVu Math TeX Gyre" w:hAnsi="DejaVu Math TeX Gyre" w:cstheme="minorEastAsia"/>
                <w:caps w:val="0"/>
                <w:color w:val="000000"/>
                <w:spacing w:val="0"/>
                <w:kern w:val="0"/>
                <w:sz w:val="21"/>
                <w:szCs w:val="21"/>
                <w:shd w:val="clear" w:fill="FFFFFF"/>
                <w:lang w:val="en-US" w:bidi="ar"/>
              </w:rPr>
              <m:t>×</m:t>
            </m:r>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119.5</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9.3</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m:rPr/>
              <w:rPr>
                <w:rFonts w:hint="eastAsia" w:ascii="DejaVu Math TeX Gyre" w:hAnsi="DejaVu Math TeX Gyre" w:cstheme="minorEastAsia"/>
                <w:i/>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119.5</m:t>
            </m:r>
            <m:ctrlPr>
              <m:rPr/>
              <w:rPr>
                <w:rFonts w:hint="eastAsia" w:ascii="DejaVu Math TeX Gyre" w:hAnsi="DejaVu Math TeX Gyre" w:cstheme="minorEastAsia"/>
                <w:i/>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47</m:t>
            </m:r>
            <m:ctrlPr>
              <m:rPr/>
              <w:rPr>
                <w:rFonts w:hint="eastAsia" w:ascii="DejaVu Math TeX Gyre" w:hAnsi="DejaVu Math TeX Gyre" w:cstheme="minorEastAsia"/>
                <w:i/>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2.54</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万人次；端午假期，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54.4</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1+17.5%</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17.5%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54.4</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5.7</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ascii="DejaVu Math TeX Gyre" w:hAnsi="DejaVu Math TeX Gyre" w:cstheme="minorEastAsia"/>
                <w:caps w:val="0"/>
                <w:color w:val="000000"/>
                <w:spacing w:val="0"/>
                <w:kern w:val="0"/>
                <w:sz w:val="21"/>
                <w:szCs w:val="21"/>
                <w:shd w:val="clear" w:fill="FFFFFF"/>
                <w:lang w:val="en-US" w:bidi="ar"/>
              </w:rPr>
              <m:t>×</m:t>
            </m:r>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5.7</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54.4</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6.7</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i/>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54.4</m:t>
            </m:r>
            <m:ctrlPr>
              <w:rPr>
                <w:rFonts w:hint="eastAsia" w:ascii="DejaVu Math TeX Gyre" w:hAnsi="DejaVu Math TeX Gyre" w:cstheme="minorEastAsia"/>
                <w:i/>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20</m:t>
            </m:r>
            <m:ctrlPr>
              <w:rPr>
                <w:rFonts w:hint="eastAsia" w:ascii="DejaVu Math TeX Gyre" w:hAnsi="DejaVu Math TeX Gyre" w:cstheme="minorEastAsia"/>
                <w:i/>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2.72</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万人次，符合柱状图变化趋势，当选；</w:t>
      </w:r>
    </w:p>
    <w:p w14:paraId="76AD2BBF">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B项，纳入监测的13家红色旅游经典景区日均接待游客数量：清明假期，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54.7</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18</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m:r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万人次；端午假期，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54.4</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18</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万人次。清明假期日均接待游客数量与端午假期几乎相等，不符合柱状图变化趋势，排除；</w:t>
      </w:r>
    </w:p>
    <w:p w14:paraId="7A533A07">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C项，4A级及以上景区日均接待游客数同比增量：清明假期，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657.</m:t>
                </m:r>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1+7.4%</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7.4%</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657.5</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13</m:t>
                    </m:r>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ascii="DejaVu Math TeX Gyre" w:hAnsi="DejaVu Math TeX Gyre" w:cstheme="minorEastAsia"/>
                <w:caps w:val="0"/>
                <w:color w:val="000000"/>
                <w:spacing w:val="0"/>
                <w:kern w:val="0"/>
                <w:sz w:val="21"/>
                <w:szCs w:val="21"/>
                <w:shd w:val="clear" w:fill="FFFFFF"/>
                <w:lang w:val="en-US" w:bidi="ar"/>
              </w:rPr>
              <m:t>×</m:t>
            </m:r>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13.5</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657</m:t>
            </m:r>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14.5</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i/>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657.5</m:t>
            </m:r>
            <m:ctrlPr>
              <w:rPr>
                <w:rFonts w:hint="eastAsia" w:ascii="DejaVu Math TeX Gyre" w:hAnsi="DejaVu Math TeX Gyre" w:cstheme="minorEastAsia"/>
                <w:i/>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44</m:t>
            </m:r>
            <m:ctrlPr>
              <w:rPr>
                <w:rFonts w:hint="eastAsia" w:ascii="DejaVu Math TeX Gyre" w:hAnsi="DejaVu Math TeX Gyre" w:cstheme="minorEastAsia"/>
                <w:i/>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15</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万人次；“五一”假期，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1629.9</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1+14.3%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14.3%</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1629.9</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7</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ascii="DejaVu Math TeX Gyre" w:hAnsi="DejaVu Math TeX Gyre" w:cstheme="minorEastAsia"/>
                <w:caps w:val="0"/>
                <w:color w:val="000000"/>
                <w:spacing w:val="0"/>
                <w:kern w:val="0"/>
                <w:sz w:val="21"/>
                <w:szCs w:val="21"/>
                <w:shd w:val="clear" w:fill="FFFFFF"/>
                <w:lang w:val="en-US" w:bidi="ar"/>
              </w:rPr>
              <m:t>×</m:t>
            </m:r>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7</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1629.9</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8</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5</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i/>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1629.9</m:t>
            </m:r>
            <m:ctrlPr>
              <w:rPr>
                <w:rFonts w:hint="eastAsia" w:ascii="DejaVu Math TeX Gyre" w:hAnsi="DejaVu Math TeX Gyre" w:cstheme="minorEastAsia"/>
                <w:i/>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40</m:t>
            </m:r>
            <m:ctrlPr>
              <w:rPr>
                <w:rFonts w:hint="eastAsia" w:ascii="DejaVu Math TeX Gyre" w:hAnsi="DejaVu Math TeX Gyre" w:cstheme="minorEastAsia"/>
                <w:i/>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41</m:t>
        </m:r>
      </m:oMath>
      <w:r>
        <m:rPr/>
        <w:rPr>
          <w:rFonts w:hint="eastAsia" w:hAnsi="DejaVu Math TeX Gyre" w:cstheme="minorEastAsia"/>
          <w:i w:val="0"/>
          <w:caps w:val="0"/>
          <w:color w:val="000000"/>
          <w:spacing w:val="0"/>
          <w:kern w:val="0"/>
          <w:sz w:val="21"/>
          <w:szCs w:val="21"/>
          <w:shd w:val="clear" w:fill="FFFFFF"/>
          <w:lang w:val="en-US" w:eastAsia="zh-CN" w:bidi="ar"/>
        </w:rPr>
        <w:t>万</w:t>
      </w: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人次；端午假期，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726.1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1+18.9%</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18.9%</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f>
              <m:fP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726.1</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5.3</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ascii="DejaVu Math TeX Gyre" w:hAnsi="DejaVu Math TeX Gyre" w:cstheme="minorEastAsia"/>
                <w:caps w:val="0"/>
                <w:color w:val="000000"/>
                <w:spacing w:val="0"/>
                <w:kern w:val="0"/>
                <w:sz w:val="21"/>
                <w:szCs w:val="21"/>
                <w:shd w:val="clear" w:fill="FFFFFF"/>
                <w:lang w:val="en-US" w:bidi="ar"/>
              </w:rPr>
              <m:t>×</m:t>
            </m:r>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eastAsia"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f>
          <m:f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726.1</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6.3</m:t>
            </m:r>
            <m:r>
              <m:rPr/>
              <w:rPr>
                <w:rFonts w:ascii="DejaVu Math TeX Gyre" w:hAnsi="DejaVu Math TeX Gyre" w:cstheme="minorEastAsia"/>
                <w:caps w:val="0"/>
                <w:color w:val="000000"/>
                <w:spacing w:val="0"/>
                <w:kern w:val="0"/>
                <w:sz w:val="21"/>
                <w:szCs w:val="21"/>
                <w:shd w:val="clear" w:fill="FFFFFF"/>
                <w:lang w:val="en-US"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f>
          <m:fPr>
            <m:ctrlPr>
              <w:rPr>
                <w:rFonts w:hint="eastAsia" w:ascii="DejaVu Math TeX Gyre" w:hAnsi="DejaVu Math TeX Gyre" w:cstheme="minorEastAsia"/>
                <w:i/>
                <w:caps w:val="0"/>
                <w:color w:val="000000"/>
                <w:spacing w:val="0"/>
                <w:kern w:val="0"/>
                <w:sz w:val="21"/>
                <w:szCs w:val="21"/>
                <w:shd w:val="clear" w:fill="FFFFFF"/>
                <w:lang w:val="en-US" w:eastAsia="zh-CN"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726.1</m:t>
            </m:r>
            <m:ctrlPr>
              <w:rPr>
                <w:rFonts w:hint="eastAsia" w:ascii="DejaVu Math TeX Gyre" w:hAnsi="DejaVu Math TeX Gyre" w:cstheme="minorEastAsia"/>
                <w:i/>
                <w:caps w:val="0"/>
                <w:color w:val="000000"/>
                <w:spacing w:val="0"/>
                <w:kern w:val="0"/>
                <w:sz w:val="21"/>
                <w:szCs w:val="21"/>
                <w:shd w:val="clear" w:fill="FFFFFF"/>
                <w:lang w:val="en-US" w:eastAsia="zh-CN"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19</m:t>
            </m:r>
            <m:ctrlPr>
              <w:rPr>
                <w:rFonts w:hint="eastAsia" w:ascii="DejaVu Math TeX Gyre" w:hAnsi="DejaVu Math TeX Gyre" w:cstheme="minorEastAsia"/>
                <w:i/>
                <w:caps w:val="0"/>
                <w:color w:val="000000"/>
                <w:spacing w:val="0"/>
                <w:kern w:val="0"/>
                <w:sz w:val="21"/>
                <w:szCs w:val="21"/>
                <w:shd w:val="clear" w:fill="FFFFFF"/>
                <w:lang w:val="en-US" w:eastAsia="zh-CN" w:bidi="ar"/>
              </w:rPr>
            </m:ctrlPr>
          </m:den>
        </m:f>
        <m:r>
          <m:rPr/>
          <w:rPr>
            <w:rFonts w:hint="eastAsia" w:ascii="DejaVu Math TeX Gyre" w:hAnsi="DejaVu Math TeX Gyre" w:cstheme="minorEastAsia"/>
            <w:caps w:val="0"/>
            <w:color w:val="000000"/>
            <w:spacing w:val="0"/>
            <w:kern w:val="0"/>
            <w:sz w:val="21"/>
            <w:szCs w:val="21"/>
            <w:shd w:val="clear" w:fill="FFFFFF"/>
            <w:lang w:val="en-US" w:eastAsia="zh-CN" w:bidi="ar"/>
          </w:rPr>
          <m:t>≈</m:t>
        </m:r>
        <m:r>
          <m:rPr/>
          <w:rPr>
            <w:rFonts w:hint="default" w:ascii="DejaVu Math TeX Gyre" w:hAnsi="DejaVu Math TeX Gyre" w:cstheme="minorEastAsia"/>
            <w:caps w:val="0"/>
            <w:color w:val="000000"/>
            <w:spacing w:val="0"/>
            <w:kern w:val="0"/>
            <w:sz w:val="21"/>
            <w:szCs w:val="21"/>
            <w:shd w:val="clear" w:fill="FFFFFF"/>
            <w:lang w:val="en-US" w:eastAsia="zh-CN" w:bidi="ar"/>
          </w:rPr>
          <m:t>38</m:t>
        </m:r>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万人次。“五一”假期同比增量&gt;端午假期同比增量，不符合柱状图变化趋势，排除；</w:t>
      </w:r>
    </w:p>
    <w:p w14:paraId="78797BD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D项，4A级及以上景区日均接待游客数量：清明假期，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657.5</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220</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万人次；“五一”假期，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1629.9</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5</m:t>
            </m:r>
            <m:ctrlPr>
              <m:rPr/>
              <w:rPr>
                <w:rFonts w:hint="default" w:ascii="DejaVu Math TeX Gyre" w:hAnsi="DejaVu Math TeX Gyre" w:cstheme="minorEastAsia"/>
                <w:i/>
                <w:caps w:val="0"/>
                <w:color w:val="000000"/>
                <w:spacing w:val="0"/>
                <w:kern w:val="0"/>
                <w:sz w:val="21"/>
                <w:szCs w:val="21"/>
                <w:shd w:val="clear" w:fill="FFFFFF"/>
                <w:lang w:val="en-US" w:eastAsia="zh-CN"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320</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万人次；端午假期，</w:t>
      </w:r>
      <m:oMath>
        <m:f>
          <m:fPr>
            <m:ctrlPr>
              <w:rPr>
                <w:rFonts w:ascii="DejaVu Math TeX Gyre" w:hAnsi="DejaVu Math TeX Gyre" w:cstheme="minorEastAsia"/>
                <w:bCs w:val="0"/>
                <w:i/>
                <w:iCs w:val="0"/>
                <w:caps w:val="0"/>
                <w:color w:val="000000"/>
                <w:spacing w:val="0"/>
                <w:kern w:val="0"/>
                <w:sz w:val="21"/>
                <w:szCs w:val="21"/>
                <w:shd w:val="clear" w:fill="FFFFFF"/>
                <w:lang w:val="en-US" w:bidi="ar"/>
              </w:rPr>
            </m:ctrlPr>
          </m:fPr>
          <m:num>
            <m:r>
              <m:rPr/>
              <w:rPr>
                <w:rFonts w:hint="default" w:ascii="DejaVu Math TeX Gyre" w:hAnsi="DejaVu Math TeX Gyre" w:cstheme="minorEastAsia"/>
                <w:caps w:val="0"/>
                <w:color w:val="000000"/>
                <w:spacing w:val="0"/>
                <w:kern w:val="0"/>
                <w:sz w:val="21"/>
                <w:szCs w:val="21"/>
                <w:shd w:val="clear" w:fill="FFFFFF"/>
                <w:lang w:val="en-US" w:eastAsia="zh-CN" w:bidi="ar"/>
              </w:rPr>
              <m:t>726.1</m:t>
            </m:r>
            <m:ctrlPr>
              <w:rPr>
                <w:rFonts w:ascii="DejaVu Math TeX Gyre" w:hAnsi="DejaVu Math TeX Gyre" w:cstheme="minorEastAsia"/>
                <w:bCs w:val="0"/>
                <w:i/>
                <w:iCs w:val="0"/>
                <w:caps w:val="0"/>
                <w:color w:val="000000"/>
                <w:spacing w:val="0"/>
                <w:kern w:val="0"/>
                <w:sz w:val="21"/>
                <w:szCs w:val="21"/>
                <w:shd w:val="clear" w:fill="FFFFFF"/>
                <w:lang w:val="en-US" w:bidi="ar"/>
              </w:rPr>
            </m:ctrlPr>
          </m:num>
          <m:den>
            <m:r>
              <m:rPr/>
              <w:rPr>
                <w:rFonts w:hint="default" w:ascii="DejaVu Math TeX Gyre" w:hAnsi="DejaVu Math TeX Gyre" w:cstheme="minorEastAsia"/>
                <w:caps w:val="0"/>
                <w:color w:val="000000"/>
                <w:spacing w:val="0"/>
                <w:kern w:val="0"/>
                <w:sz w:val="21"/>
                <w:szCs w:val="21"/>
                <w:shd w:val="clear" w:fill="FFFFFF"/>
                <w:lang w:val="en-US" w:eastAsia="zh-CN" w:bidi="ar"/>
              </w:rPr>
              <m:t>3</m:t>
            </m:r>
            <m:ctrlPr>
              <w:rPr>
                <w:rFonts w:ascii="DejaVu Math TeX Gyre" w:hAnsi="DejaVu Math TeX Gyre" w:cstheme="minorEastAsia"/>
                <w:bCs w:val="0"/>
                <w:i/>
                <w:iCs w:val="0"/>
                <w:caps w:val="0"/>
                <w:color w:val="000000"/>
                <w:spacing w:val="0"/>
                <w:kern w:val="0"/>
                <w:sz w:val="21"/>
                <w:szCs w:val="21"/>
                <w:shd w:val="clear" w:fill="FFFFFF"/>
                <w:lang w:val="en-US" w:bidi="ar"/>
              </w:rPr>
            </m:ctrlPr>
          </m:den>
        </m:f>
        <m:r>
          <m:rPr/>
          <w:rPr>
            <w:rFonts w:hint="default" w:ascii="DejaVu Math TeX Gyre" w:hAnsi="DejaVu Math TeX Gyre" w:cstheme="minorEastAsia"/>
            <w:caps w:val="0"/>
            <w:color w:val="000000"/>
            <w:spacing w:val="0"/>
            <w:kern w:val="0"/>
            <w:sz w:val="21"/>
            <w:szCs w:val="21"/>
            <w:shd w:val="clear" w:fill="FFFFFF"/>
            <w:lang w:val="en-US" w:eastAsia="zh-CN" w:bidi="ar"/>
          </w:rPr>
          <m:t>=</m:t>
        </m:r>
        <m:sSup>
          <m:sSupP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SupPr>
          <m:e>
            <m:r>
              <m:rPr/>
              <w:rPr>
                <w:rFonts w:hint="default" w:ascii="DejaVu Math TeX Gyre" w:hAnsi="DejaVu Math TeX Gyre" w:cstheme="minorEastAsia"/>
                <w:caps w:val="0"/>
                <w:color w:val="000000"/>
                <w:spacing w:val="0"/>
                <w:kern w:val="0"/>
                <w:sz w:val="21"/>
                <w:szCs w:val="21"/>
                <w:shd w:val="clear" w:fill="FFFFFF"/>
                <w:lang w:val="en-US" w:eastAsia="zh-CN" w:bidi="ar"/>
              </w:rPr>
              <m:t>240</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e>
          <m:sup>
            <m:r>
              <m:rPr/>
              <w:rPr>
                <w:rFonts w:hint="default" w:ascii="DejaVu Math TeX Gyre" w:hAnsi="DejaVu Math TeX Gyre" w:cstheme="minorEastAsia"/>
                <w:caps w:val="0"/>
                <w:color w:val="000000"/>
                <w:spacing w:val="0"/>
                <w:kern w:val="0"/>
                <w:sz w:val="21"/>
                <w:szCs w:val="21"/>
                <w:shd w:val="clear" w:fill="FFFFFF"/>
                <w:lang w:val="en-US" w:eastAsia="zh-CN" w:bidi="ar"/>
              </w:rPr>
              <m:t>+</m:t>
            </m:r>
            <m:ctrlPr>
              <w:rPr>
                <w:rFonts w:hint="default" w:ascii="DejaVu Math TeX Gyre" w:hAnsi="DejaVu Math TeX Gyre" w:cstheme="minorEastAsia"/>
                <w:bCs w:val="0"/>
                <w:i/>
                <w:iCs w:val="0"/>
                <w:caps w:val="0"/>
                <w:color w:val="000000"/>
                <w:spacing w:val="0"/>
                <w:kern w:val="0"/>
                <w:sz w:val="21"/>
                <w:szCs w:val="21"/>
                <w:shd w:val="clear" w:fill="FFFFFF"/>
                <w:lang w:val="en-US" w:eastAsia="zh-CN" w:bidi="ar"/>
              </w:rPr>
            </m:ctrlPr>
          </m:sup>
        </m:sSup>
      </m:oMath>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万人次。“五一”假期日均接待游客数量&gt;端午假期日均接待游客数量，不符合柱状图变化趋势，排除。</w:t>
      </w:r>
    </w:p>
    <w:p w14:paraId="6364EAA1">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pPr>
      <w:r>
        <w:rPr>
          <w:rFonts w:hint="default" w:asciiTheme="minorEastAsia" w:hAnsiTheme="minorEastAsia" w:cstheme="minorEastAsia"/>
          <w:b w:val="0"/>
          <w:bCs w:val="0"/>
          <w:i w:val="0"/>
          <w:iCs w:val="0"/>
          <w:caps w:val="0"/>
          <w:color w:val="000000"/>
          <w:spacing w:val="0"/>
          <w:kern w:val="0"/>
          <w:sz w:val="21"/>
          <w:szCs w:val="21"/>
          <w:shd w:val="clear" w:fill="FFFFFF"/>
          <w:lang w:val="en-US" w:eastAsia="zh-CN" w:bidi="ar"/>
        </w:rPr>
        <w:t>故正确答案为A。</w:t>
      </w:r>
    </w:p>
    <w:sectPr>
      <w:headerReference r:id="rId3" w:type="default"/>
      <w:footerReference r:id="rId4" w:type="default"/>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380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5A1C00">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MK/9TdAgAAJgYAAA4AAABkcnMvZTJvRG9jLnhtbK1US27bMBDdF+gd&#10;CO4VSY5iy0bkwLGiooDRBEiLrmmKsoRSJEHSn7Totr1BV91033PlHB1Slp2kRRGg9UIecoYz8958&#10;zi92LUcbpk0jRYbjkwgjJqgsG7HK8Lu3RZBiZCwRJeFSsAzfMYMvpi9fnG/VhA1kLXnJNAInwky2&#10;KsO1tWoShobWrCXmRComQFlJ3RILR70KS0224L3l4SCKhuFW6lJpSZkxcJt3Srz3qJ/jUFZVQ1ku&#10;6bplwnZeNePEAiRTN8rgqc+2qhi111VlmEU8w4DU+i8EAXnpvuH0nExWmqi6ofsUyHNSeIKpJY2A&#10;oAdXObEErXXzm6u2oVoaWdkTKtuwA+IZARRx9ISb25oo5rEA1UYdSDf/zy19s7nRqCkzPIoxEqSF&#10;it9/+3r//ef9jy8I7oCgrTITsLtVYGl3l3IHbdPfG7h0uHeVbt0/IEKgB3rvDvSynUXUPUoHaRqB&#10;ioKuP4D/8PhcaWNfMdkiJ2RYQ/08rWSzMLYz7U1cNCGLhnNfQy7QNsPD07PIPzhowDkXzhayAB97&#10;qavNp3E0vkqv0iRIBsOrIInyPJgV8yQYFvHoLD/N5/M8/uz8xcmkbsqSCRev75M4eV4d9r3SVfjQ&#10;KUbypnTuXEpGr5ZzrtGGQJ8W/ucYhuQfmIWP0/BqQPUEUjxIosvBOCiG6ShIiuQsGI+iNIji8eV4&#10;GCXjJC8eQ1o0gv07pEfsP0iaTFzBDtiWnNAPf4Xm0jlCAwb6woWuD7t+c5LdLXdAkROXsryD3tSy&#10;G2+jaNFA0AUx9oZomGfoOdh49ho+FZfQJ3IvYVRL/fFP984eygtajLawHzIsYB1ixF8LGD9waHtB&#10;98KyF8S6nUsoJEwU5OJFeKAt78VKy/Y9rMGZiwEqIihEyrDtxbntdhSsUcpmM2+0VrpZ1d0DWB6K&#10;2IW4VdSF8S2kZmsL8+DH5MgKUOkOsD48qftV5/bTw7O3Oq736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wwr/1N0CAAAmBgAADgAAAAAAAAABACAAAAAfAQAAZHJzL2Uyb0RvYy54bWxQSwUG&#10;AAAAAAYABgBZAQAAbgYAAAAA&#10;">
              <v:fill on="f" focussize="0,0"/>
              <v:stroke on="f" weight="0.5pt"/>
              <v:imagedata o:title=""/>
              <o:lock v:ext="edit" aspectratio="f"/>
              <v:textbox inset="0mm,0mm,0mm,0mm" style="mso-fit-shape-to-text:t;">
                <w:txbxContent>
                  <w:p w14:paraId="085A1C00">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C2E34">
    <w:pPr>
      <w:pStyle w:val="4"/>
      <w:pBdr>
        <w:bottom w:val="single" w:color="auto" w:sz="4" w:space="1"/>
      </w:pBdr>
      <w:jc w:val="center"/>
      <w:rPr>
        <w:rFonts w:hint="default" w:eastAsiaTheme="minorEastAsia"/>
        <w:lang w:val="en-US" w:eastAsia="zh-CN"/>
      </w:rPr>
    </w:pPr>
    <w:r>
      <w:rPr>
        <w:sz w:val="18"/>
      </w:rPr>
      <w:pict>
        <v:shape id="PowerPlusWaterMarkObject835100" o:spid="_x0000_s2049" o:spt="136" type="#_x0000_t136" style="position:absolute;left:0pt;height:110.4pt;width:476.8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13107f" focussize="0,0"/>
          <v:stroke on="f"/>
          <v:imagedata o:title=""/>
          <o:lock v:ext="edit" aspectratio="t"/>
          <v:textpath on="t" fitshape="t" fitpath="t" trim="t" xscale="f" string="杭州上岸智路" style="font-family:PingFang SC;font-size:36pt;v-same-letter-heights:f;v-text-align:center;"/>
        </v:shape>
      </w:pict>
    </w:r>
    <w:r>
      <w:rPr>
        <w:rFonts w:hint="eastAsia"/>
        <w:lang w:val="en-US" w:eastAsia="zh-CN"/>
      </w:rPr>
      <w:t>上岸智路内部资料 请勿传阅</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E0046"/>
    <w:rsid w:val="1FF7A404"/>
    <w:rsid w:val="2FFB8EBD"/>
    <w:rsid w:val="5BD648D7"/>
    <w:rsid w:val="5CBFEFDC"/>
    <w:rsid w:val="5EBDC7D7"/>
    <w:rsid w:val="5F7A476D"/>
    <w:rsid w:val="6AF5FED0"/>
    <w:rsid w:val="6B4B775F"/>
    <w:rsid w:val="6FEE0046"/>
    <w:rsid w:val="79FB6759"/>
    <w:rsid w:val="7CDCCE1A"/>
    <w:rsid w:val="7DAF5E90"/>
    <w:rsid w:val="7EBB402D"/>
    <w:rsid w:val="7F2FB348"/>
    <w:rsid w:val="7FBD27ED"/>
    <w:rsid w:val="7FEAA683"/>
    <w:rsid w:val="8F542D1C"/>
    <w:rsid w:val="AE6A0A94"/>
    <w:rsid w:val="B657167D"/>
    <w:rsid w:val="BFFFF63F"/>
    <w:rsid w:val="CBA7260B"/>
    <w:rsid w:val="CDFE975D"/>
    <w:rsid w:val="CEE7CE9C"/>
    <w:rsid w:val="DAF651F0"/>
    <w:rsid w:val="EEEF01E1"/>
    <w:rsid w:val="EFBAAE90"/>
    <w:rsid w:val="F3CF2AAF"/>
    <w:rsid w:val="F4B78DAB"/>
    <w:rsid w:val="F69A2B74"/>
    <w:rsid w:val="FB7F8971"/>
    <w:rsid w:val="FBC63532"/>
    <w:rsid w:val="FBE7ED84"/>
    <w:rsid w:val="FE173805"/>
    <w:rsid w:val="FEF13E28"/>
    <w:rsid w:val="FFEF2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2098659788"/>
        <w:style w:val=""/>
        <w:category>
          <w:name w:val="常规"/>
          <w:gallery w:val="placeholder"/>
        </w:category>
        <w:types>
          <w:type w:val="bbPlcHdr"/>
        </w:types>
        <w:behaviors>
          <w:behavior w:val="content"/>
        </w:behaviors>
        <w:description w:val=""/>
        <w:guid w:val="{16287c41-4909-4c25-a1b8-0d8aed75d07d}"/>
      </w:docPartPr>
      <w:docPartBody>
        <w:p w14:paraId="392EE36D">
          <w:r>
            <w:rPr>
              <w:color w:val="808080"/>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0</Words>
  <Characters>0</Characters>
  <Lines>0</Lines>
  <Paragraphs>0</Paragraphs>
  <TotalTime>0</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2026-01-29T20:09:00Z</dcterms:created>
  <dc:creator>三郎</dc:creator>
  <cp:lastModifiedBy>三郎</cp:lastModifiedBy>
  <dcterms:modified xsi:type="dcterms:W3CDTF">2026-01-30T15:13:46Z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89345350DDAB2BAEE04D7B69BDBB6414_41</vt:lpwstr>
  </property>
</Properties>
</file>