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52B3A">
      <w:pPr>
        <w:jc w:val="center"/>
        <w:rPr>
          <w:rFonts w:hint="eastAsia"/>
          <w:b/>
          <w:bCs/>
          <w:sz w:val="28"/>
          <w:szCs w:val="36"/>
          <w:vertAlign w:val="baseline"/>
          <w:lang w:val="en-US" w:eastAsia="zh-CN"/>
        </w:rPr>
      </w:pPr>
    </w:p>
    <w:p w14:paraId="094ACB0E">
      <w:pPr>
        <w:jc w:val="center"/>
        <w:rPr>
          <w:rFonts w:hint="eastAsia"/>
          <w:b/>
          <w:bCs/>
          <w:sz w:val="28"/>
          <w:szCs w:val="36"/>
          <w:vertAlign w:val="baseline"/>
          <w:lang w:val="en-US" w:eastAsia="zh-CN"/>
        </w:rPr>
      </w:pPr>
    </w:p>
    <w:p w14:paraId="33DCB67C">
      <w:pPr>
        <w:jc w:val="center"/>
        <w:rPr>
          <w:rFonts w:hint="default" w:eastAsiaTheme="minorEastAsia"/>
          <w:vertAlign w:val="baseline"/>
          <w:lang w:val="en-US" w:eastAsia="zh-CN"/>
        </w:rPr>
      </w:pPr>
      <w:r>
        <w:rPr>
          <w:rFonts w:hint="eastAsia"/>
          <w:b/>
          <w:bCs/>
          <w:sz w:val="28"/>
          <w:szCs w:val="36"/>
          <w:vertAlign w:val="baseline"/>
          <w:lang w:val="en-US" w:eastAsia="zh-CN"/>
        </w:rPr>
        <w:t>24年11月事业编A类套卷答案速对+解析</w:t>
      </w:r>
    </w:p>
    <w:tbl>
      <w:tblPr>
        <w:tblStyle w:val="5"/>
        <w:tblpPr w:leftFromText="180" w:rightFromText="180" w:vertAnchor="text" w:horzAnchor="page" w:tblpX="3014" w:tblpY="1292"/>
        <w:tblOverlap w:val="never"/>
        <w:tblW w:w="6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6"/>
        <w:gridCol w:w="1808"/>
        <w:gridCol w:w="2458"/>
      </w:tblGrid>
      <w:tr w14:paraId="7A5A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tcPr>
          <w:p w14:paraId="6AC936E1">
            <w:pPr>
              <w:jc w:val="center"/>
              <w:rPr>
                <w:rFonts w:hint="default"/>
                <w:vertAlign w:val="baseline"/>
                <w:lang w:val="en-US" w:eastAsia="zh-CN"/>
              </w:rPr>
            </w:pPr>
            <w:r>
              <w:rPr>
                <w:rFonts w:hint="eastAsia"/>
                <w:vertAlign w:val="baseline"/>
                <w:lang w:val="en-US" w:eastAsia="zh-CN"/>
              </w:rPr>
              <w:t>板块</w:t>
            </w:r>
          </w:p>
        </w:tc>
        <w:tc>
          <w:tcPr>
            <w:tcW w:w="1808" w:type="dxa"/>
            <w:shd w:val="clear" w:color="auto" w:fill="auto"/>
            <w:vAlign w:val="top"/>
          </w:tcPr>
          <w:p w14:paraId="303F7CD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题号</w:t>
            </w:r>
          </w:p>
        </w:tc>
        <w:tc>
          <w:tcPr>
            <w:tcW w:w="2458" w:type="dxa"/>
            <w:shd w:val="clear" w:color="auto" w:fill="auto"/>
            <w:vAlign w:val="top"/>
          </w:tcPr>
          <w:p w14:paraId="34FEE25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答案</w:t>
            </w:r>
          </w:p>
        </w:tc>
      </w:tr>
      <w:tr w14:paraId="2C5D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9" w:hRule="atLeast"/>
        </w:trPr>
        <w:tc>
          <w:tcPr>
            <w:tcW w:w="1796" w:type="dxa"/>
          </w:tcPr>
          <w:p w14:paraId="4DF19110">
            <w:pPr>
              <w:jc w:val="center"/>
              <w:rPr>
                <w:rFonts w:hint="default"/>
                <w:vertAlign w:val="baseline"/>
                <w:lang w:val="en-US" w:eastAsia="zh-CN"/>
              </w:rPr>
            </w:pPr>
            <w:r>
              <w:rPr>
                <w:rFonts w:hint="eastAsia"/>
                <w:vertAlign w:val="baseline"/>
                <w:lang w:val="en-US" w:eastAsia="zh-CN"/>
              </w:rPr>
              <w:t>常识</w:t>
            </w:r>
          </w:p>
        </w:tc>
        <w:tc>
          <w:tcPr>
            <w:tcW w:w="1808" w:type="dxa"/>
            <w:shd w:val="clear" w:color="auto" w:fill="auto"/>
            <w:vAlign w:val="top"/>
          </w:tcPr>
          <w:p w14:paraId="1A283DC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1-5</w:t>
            </w:r>
          </w:p>
        </w:tc>
        <w:tc>
          <w:tcPr>
            <w:tcW w:w="2458" w:type="dxa"/>
            <w:shd w:val="clear" w:color="auto" w:fill="auto"/>
            <w:vAlign w:val="top"/>
          </w:tcPr>
          <w:p w14:paraId="4A8AC0DC">
            <w:pPr>
              <w:jc w:val="center"/>
              <w:rPr>
                <w:rFonts w:hint="default"/>
                <w:vertAlign w:val="baseline"/>
                <w:lang w:val="en-US" w:eastAsia="zh-CN"/>
              </w:rPr>
            </w:pPr>
            <w:r>
              <w:rPr>
                <w:rFonts w:hint="eastAsia"/>
                <w:vertAlign w:val="baseline"/>
                <w:lang w:val="en-US" w:eastAsia="zh-CN"/>
              </w:rPr>
              <w:t>DBABC</w:t>
            </w:r>
          </w:p>
        </w:tc>
      </w:tr>
      <w:tr w14:paraId="29AC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62FAFDF">
            <w:pPr>
              <w:jc w:val="center"/>
              <w:rPr>
                <w:rFonts w:hint="eastAsia"/>
                <w:vertAlign w:val="baseline"/>
                <w:lang w:val="en-US" w:eastAsia="zh-CN"/>
              </w:rPr>
            </w:pPr>
          </w:p>
        </w:tc>
        <w:tc>
          <w:tcPr>
            <w:tcW w:w="1808" w:type="dxa"/>
            <w:shd w:val="clear" w:color="auto" w:fill="auto"/>
            <w:vAlign w:val="top"/>
          </w:tcPr>
          <w:p w14:paraId="57219258">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6-10</w:t>
            </w:r>
          </w:p>
        </w:tc>
        <w:tc>
          <w:tcPr>
            <w:tcW w:w="2458" w:type="dxa"/>
            <w:shd w:val="clear" w:color="auto" w:fill="auto"/>
            <w:vAlign w:val="top"/>
          </w:tcPr>
          <w:p w14:paraId="2B62271C">
            <w:pPr>
              <w:jc w:val="center"/>
              <w:rPr>
                <w:rFonts w:hint="default"/>
                <w:vertAlign w:val="baseline"/>
                <w:lang w:val="en-US" w:eastAsia="zh-CN"/>
              </w:rPr>
            </w:pPr>
            <w:r>
              <w:rPr>
                <w:rFonts w:hint="eastAsia"/>
                <w:vertAlign w:val="baseline"/>
                <w:lang w:val="en-US" w:eastAsia="zh-CN"/>
              </w:rPr>
              <w:t>CAACD</w:t>
            </w:r>
          </w:p>
        </w:tc>
      </w:tr>
      <w:tr w14:paraId="7F7B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636E631">
            <w:pPr>
              <w:jc w:val="center"/>
              <w:rPr>
                <w:rFonts w:hint="eastAsia"/>
                <w:vertAlign w:val="baseline"/>
                <w:lang w:val="en-US" w:eastAsia="zh-CN"/>
              </w:rPr>
            </w:pPr>
          </w:p>
        </w:tc>
        <w:tc>
          <w:tcPr>
            <w:tcW w:w="1808" w:type="dxa"/>
            <w:shd w:val="clear" w:color="auto" w:fill="auto"/>
            <w:vAlign w:val="top"/>
          </w:tcPr>
          <w:p w14:paraId="6593552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11-15</w:t>
            </w:r>
          </w:p>
        </w:tc>
        <w:tc>
          <w:tcPr>
            <w:tcW w:w="2458" w:type="dxa"/>
            <w:shd w:val="clear" w:color="auto" w:fill="auto"/>
            <w:vAlign w:val="top"/>
          </w:tcPr>
          <w:p w14:paraId="02C50A99">
            <w:pPr>
              <w:jc w:val="center"/>
              <w:rPr>
                <w:rFonts w:hint="default"/>
                <w:vertAlign w:val="baseline"/>
                <w:lang w:val="en-US" w:eastAsia="zh-CN"/>
              </w:rPr>
            </w:pPr>
            <w:r>
              <w:rPr>
                <w:rFonts w:hint="eastAsia"/>
                <w:vertAlign w:val="baseline"/>
                <w:lang w:val="en-US" w:eastAsia="zh-CN"/>
              </w:rPr>
              <w:t>ADCBB</w:t>
            </w:r>
          </w:p>
        </w:tc>
      </w:tr>
      <w:tr w14:paraId="72F9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9B85CD7">
            <w:pPr>
              <w:jc w:val="center"/>
              <w:rPr>
                <w:rFonts w:hint="eastAsia"/>
                <w:vertAlign w:val="baseline"/>
                <w:lang w:val="en-US" w:eastAsia="zh-CN"/>
              </w:rPr>
            </w:pPr>
          </w:p>
        </w:tc>
        <w:tc>
          <w:tcPr>
            <w:tcW w:w="1808" w:type="dxa"/>
            <w:shd w:val="clear" w:color="auto" w:fill="auto"/>
            <w:vAlign w:val="top"/>
          </w:tcPr>
          <w:p w14:paraId="6FCBB6F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16-20</w:t>
            </w:r>
          </w:p>
        </w:tc>
        <w:tc>
          <w:tcPr>
            <w:tcW w:w="2458" w:type="dxa"/>
            <w:shd w:val="clear" w:color="auto" w:fill="auto"/>
            <w:vAlign w:val="top"/>
          </w:tcPr>
          <w:p w14:paraId="780874AD">
            <w:pPr>
              <w:jc w:val="center"/>
              <w:rPr>
                <w:rFonts w:hint="default"/>
                <w:vertAlign w:val="baseline"/>
                <w:lang w:val="en-US" w:eastAsia="zh-CN"/>
              </w:rPr>
            </w:pPr>
            <w:r>
              <w:rPr>
                <w:rFonts w:hint="eastAsia"/>
                <w:vertAlign w:val="baseline"/>
                <w:lang w:val="en-US" w:eastAsia="zh-CN"/>
              </w:rPr>
              <w:t>DACBD</w:t>
            </w:r>
          </w:p>
        </w:tc>
      </w:tr>
      <w:tr w14:paraId="5E9B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65098A0C">
            <w:pPr>
              <w:jc w:val="center"/>
              <w:rPr>
                <w:rFonts w:hint="default"/>
                <w:vertAlign w:val="baseline"/>
                <w:lang w:val="en-US" w:eastAsia="zh-CN"/>
              </w:rPr>
            </w:pPr>
            <w:r>
              <w:rPr>
                <w:rFonts w:hint="eastAsia"/>
                <w:vertAlign w:val="baseline"/>
                <w:lang w:val="en-US" w:eastAsia="zh-CN"/>
              </w:rPr>
              <w:t>言语理解</w:t>
            </w:r>
          </w:p>
        </w:tc>
        <w:tc>
          <w:tcPr>
            <w:tcW w:w="1808" w:type="dxa"/>
            <w:shd w:val="clear" w:color="auto" w:fill="auto"/>
            <w:vAlign w:val="top"/>
          </w:tcPr>
          <w:p w14:paraId="1973B79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21-25</w:t>
            </w:r>
          </w:p>
        </w:tc>
        <w:tc>
          <w:tcPr>
            <w:tcW w:w="2458" w:type="dxa"/>
            <w:shd w:val="clear" w:color="auto" w:fill="auto"/>
            <w:vAlign w:val="top"/>
          </w:tcPr>
          <w:p w14:paraId="67BA5FC4">
            <w:pPr>
              <w:jc w:val="center"/>
              <w:rPr>
                <w:rFonts w:hint="default"/>
                <w:vertAlign w:val="baseline"/>
                <w:lang w:val="en-US" w:eastAsia="zh-CN"/>
              </w:rPr>
            </w:pPr>
            <w:r>
              <w:rPr>
                <w:rFonts w:hint="eastAsia"/>
                <w:vertAlign w:val="baseline"/>
                <w:lang w:val="en-US" w:eastAsia="zh-CN"/>
              </w:rPr>
              <w:t>CCDAC</w:t>
            </w:r>
          </w:p>
        </w:tc>
      </w:tr>
      <w:tr w14:paraId="5F7CF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F4D71EC">
            <w:pPr>
              <w:jc w:val="center"/>
              <w:rPr>
                <w:rFonts w:hint="eastAsia"/>
                <w:vertAlign w:val="baseline"/>
                <w:lang w:val="en-US" w:eastAsia="zh-CN"/>
              </w:rPr>
            </w:pPr>
          </w:p>
        </w:tc>
        <w:tc>
          <w:tcPr>
            <w:tcW w:w="1808" w:type="dxa"/>
            <w:shd w:val="clear" w:color="auto" w:fill="auto"/>
            <w:vAlign w:val="top"/>
          </w:tcPr>
          <w:p w14:paraId="2D6955C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26-30</w:t>
            </w:r>
          </w:p>
        </w:tc>
        <w:tc>
          <w:tcPr>
            <w:tcW w:w="2458" w:type="dxa"/>
            <w:shd w:val="clear" w:color="auto" w:fill="auto"/>
            <w:vAlign w:val="top"/>
          </w:tcPr>
          <w:p w14:paraId="514A6CEF">
            <w:pPr>
              <w:jc w:val="center"/>
              <w:rPr>
                <w:rFonts w:hint="default"/>
                <w:vertAlign w:val="baseline"/>
                <w:lang w:val="en-US" w:eastAsia="zh-CN"/>
              </w:rPr>
            </w:pPr>
            <w:r>
              <w:rPr>
                <w:rFonts w:hint="eastAsia"/>
                <w:vertAlign w:val="baseline"/>
                <w:lang w:val="en-US" w:eastAsia="zh-CN"/>
              </w:rPr>
              <w:t>CADBD</w:t>
            </w:r>
          </w:p>
        </w:tc>
      </w:tr>
      <w:tr w14:paraId="7067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469097E1">
            <w:pPr>
              <w:jc w:val="center"/>
              <w:rPr>
                <w:rFonts w:hint="eastAsia"/>
                <w:vertAlign w:val="baseline"/>
                <w:lang w:val="en-US" w:eastAsia="zh-CN"/>
              </w:rPr>
            </w:pPr>
          </w:p>
        </w:tc>
        <w:tc>
          <w:tcPr>
            <w:tcW w:w="1808" w:type="dxa"/>
            <w:shd w:val="clear" w:color="auto" w:fill="auto"/>
            <w:vAlign w:val="top"/>
          </w:tcPr>
          <w:p w14:paraId="1A24FF3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31-35</w:t>
            </w:r>
          </w:p>
        </w:tc>
        <w:tc>
          <w:tcPr>
            <w:tcW w:w="2458" w:type="dxa"/>
            <w:shd w:val="clear" w:color="auto" w:fill="auto"/>
            <w:vAlign w:val="top"/>
          </w:tcPr>
          <w:p w14:paraId="381FAA74">
            <w:pPr>
              <w:jc w:val="center"/>
              <w:rPr>
                <w:rFonts w:hint="default"/>
                <w:vertAlign w:val="baseline"/>
                <w:lang w:val="en-US" w:eastAsia="zh-CN"/>
              </w:rPr>
            </w:pPr>
            <w:r>
              <w:rPr>
                <w:rFonts w:hint="eastAsia"/>
                <w:vertAlign w:val="baseline"/>
                <w:lang w:val="en-US" w:eastAsia="zh-CN"/>
              </w:rPr>
              <w:t>BBADA</w:t>
            </w:r>
          </w:p>
        </w:tc>
      </w:tr>
      <w:tr w14:paraId="0AE0B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70C0E27">
            <w:pPr>
              <w:jc w:val="center"/>
              <w:rPr>
                <w:rFonts w:hint="eastAsia"/>
                <w:vertAlign w:val="baseline"/>
                <w:lang w:val="en-US" w:eastAsia="zh-CN"/>
              </w:rPr>
            </w:pPr>
          </w:p>
        </w:tc>
        <w:tc>
          <w:tcPr>
            <w:tcW w:w="1808" w:type="dxa"/>
            <w:shd w:val="clear" w:color="auto" w:fill="auto"/>
            <w:vAlign w:val="top"/>
          </w:tcPr>
          <w:p w14:paraId="67F6240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36-40</w:t>
            </w:r>
          </w:p>
        </w:tc>
        <w:tc>
          <w:tcPr>
            <w:tcW w:w="2458" w:type="dxa"/>
            <w:shd w:val="clear" w:color="auto" w:fill="auto"/>
            <w:vAlign w:val="top"/>
          </w:tcPr>
          <w:p w14:paraId="3CA72811">
            <w:pPr>
              <w:jc w:val="center"/>
              <w:rPr>
                <w:rFonts w:hint="default"/>
                <w:vertAlign w:val="baseline"/>
                <w:lang w:val="en-US" w:eastAsia="zh-CN"/>
              </w:rPr>
            </w:pPr>
            <w:r>
              <w:rPr>
                <w:rFonts w:hint="eastAsia"/>
                <w:vertAlign w:val="baseline"/>
                <w:lang w:val="en-US" w:eastAsia="zh-CN"/>
              </w:rPr>
              <w:t>CDCAB</w:t>
            </w:r>
          </w:p>
        </w:tc>
      </w:tr>
      <w:tr w14:paraId="5047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7EA4A0D">
            <w:pPr>
              <w:jc w:val="center"/>
              <w:rPr>
                <w:rFonts w:hint="eastAsia"/>
                <w:vertAlign w:val="baseline"/>
                <w:lang w:val="en-US" w:eastAsia="zh-CN"/>
              </w:rPr>
            </w:pPr>
          </w:p>
        </w:tc>
        <w:tc>
          <w:tcPr>
            <w:tcW w:w="1808" w:type="dxa"/>
            <w:shd w:val="clear" w:color="auto" w:fill="auto"/>
            <w:vAlign w:val="top"/>
          </w:tcPr>
          <w:p w14:paraId="049C636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41-45</w:t>
            </w:r>
          </w:p>
        </w:tc>
        <w:tc>
          <w:tcPr>
            <w:tcW w:w="2458" w:type="dxa"/>
            <w:shd w:val="clear" w:color="auto" w:fill="auto"/>
            <w:vAlign w:val="top"/>
          </w:tcPr>
          <w:p w14:paraId="44778CCB">
            <w:pPr>
              <w:jc w:val="center"/>
              <w:rPr>
                <w:rFonts w:hint="default"/>
                <w:vertAlign w:val="baseline"/>
                <w:lang w:val="en-US" w:eastAsia="zh-CN"/>
              </w:rPr>
            </w:pPr>
            <w:r>
              <w:rPr>
                <w:rFonts w:hint="eastAsia"/>
                <w:vertAlign w:val="baseline"/>
                <w:lang w:val="en-US" w:eastAsia="zh-CN"/>
              </w:rPr>
              <w:t>ABCDA</w:t>
            </w:r>
          </w:p>
        </w:tc>
      </w:tr>
      <w:tr w14:paraId="1327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9" w:hRule="atLeast"/>
        </w:trPr>
        <w:tc>
          <w:tcPr>
            <w:tcW w:w="1796" w:type="dxa"/>
          </w:tcPr>
          <w:p w14:paraId="1AC9AA02">
            <w:pPr>
              <w:jc w:val="center"/>
              <w:rPr>
                <w:rFonts w:hint="default"/>
                <w:vertAlign w:val="baseline"/>
                <w:lang w:val="en-US" w:eastAsia="zh-CN"/>
              </w:rPr>
            </w:pPr>
            <w:r>
              <w:rPr>
                <w:rFonts w:hint="eastAsia"/>
                <w:vertAlign w:val="baseline"/>
                <w:lang w:val="en-US" w:eastAsia="zh-CN"/>
              </w:rPr>
              <w:t>数量关系</w:t>
            </w:r>
          </w:p>
        </w:tc>
        <w:tc>
          <w:tcPr>
            <w:tcW w:w="1808" w:type="dxa"/>
            <w:shd w:val="clear" w:color="auto" w:fill="auto"/>
            <w:vAlign w:val="top"/>
          </w:tcPr>
          <w:p w14:paraId="0E60946F">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46-50</w:t>
            </w:r>
          </w:p>
        </w:tc>
        <w:tc>
          <w:tcPr>
            <w:tcW w:w="2458" w:type="dxa"/>
            <w:shd w:val="clear" w:color="auto" w:fill="auto"/>
            <w:vAlign w:val="top"/>
          </w:tcPr>
          <w:p w14:paraId="7A5B7511">
            <w:pPr>
              <w:jc w:val="center"/>
              <w:rPr>
                <w:rFonts w:hint="default"/>
                <w:vertAlign w:val="baseline"/>
                <w:lang w:val="en-US" w:eastAsia="zh-CN"/>
              </w:rPr>
            </w:pPr>
            <w:r>
              <w:rPr>
                <w:rFonts w:hint="eastAsia"/>
                <w:vertAlign w:val="baseline"/>
                <w:lang w:val="en-US" w:eastAsia="zh-CN"/>
              </w:rPr>
              <w:t>BCADA</w:t>
            </w:r>
          </w:p>
        </w:tc>
      </w:tr>
      <w:tr w14:paraId="14CF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65A83E21">
            <w:pPr>
              <w:jc w:val="center"/>
              <w:rPr>
                <w:rFonts w:hint="default"/>
                <w:vertAlign w:val="baseline"/>
                <w:lang w:val="en-US" w:eastAsia="zh-CN"/>
              </w:rPr>
            </w:pPr>
            <w:r>
              <w:rPr>
                <w:rFonts w:hint="eastAsia"/>
                <w:vertAlign w:val="baseline"/>
                <w:lang w:val="en-US" w:eastAsia="zh-CN"/>
              </w:rPr>
              <w:t>判断推理</w:t>
            </w:r>
          </w:p>
        </w:tc>
        <w:tc>
          <w:tcPr>
            <w:tcW w:w="1808" w:type="dxa"/>
            <w:shd w:val="clear" w:color="auto" w:fill="auto"/>
            <w:vAlign w:val="top"/>
          </w:tcPr>
          <w:p w14:paraId="028AC902">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51-55</w:t>
            </w:r>
          </w:p>
        </w:tc>
        <w:tc>
          <w:tcPr>
            <w:tcW w:w="2458" w:type="dxa"/>
            <w:shd w:val="clear" w:color="auto" w:fill="auto"/>
            <w:vAlign w:val="top"/>
          </w:tcPr>
          <w:p w14:paraId="488BAF0F">
            <w:pPr>
              <w:jc w:val="center"/>
              <w:rPr>
                <w:rFonts w:hint="default"/>
                <w:vertAlign w:val="baseline"/>
                <w:lang w:val="en-US" w:eastAsia="zh-CN"/>
              </w:rPr>
            </w:pPr>
            <w:r>
              <w:rPr>
                <w:rFonts w:hint="eastAsia"/>
                <w:vertAlign w:val="baseline"/>
                <w:lang w:val="en-US" w:eastAsia="zh-CN"/>
              </w:rPr>
              <w:t>ACCDB</w:t>
            </w:r>
          </w:p>
        </w:tc>
      </w:tr>
      <w:tr w14:paraId="72C6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04C20B91">
            <w:pPr>
              <w:jc w:val="center"/>
              <w:rPr>
                <w:rFonts w:hint="eastAsia"/>
                <w:vertAlign w:val="baseline"/>
                <w:lang w:val="en-US" w:eastAsia="zh-CN"/>
              </w:rPr>
            </w:pPr>
          </w:p>
        </w:tc>
        <w:tc>
          <w:tcPr>
            <w:tcW w:w="1808" w:type="dxa"/>
            <w:shd w:val="clear" w:color="auto" w:fill="auto"/>
            <w:vAlign w:val="top"/>
          </w:tcPr>
          <w:p w14:paraId="7F5DF2CF">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56-60</w:t>
            </w:r>
          </w:p>
        </w:tc>
        <w:tc>
          <w:tcPr>
            <w:tcW w:w="2458" w:type="dxa"/>
            <w:shd w:val="clear" w:color="auto" w:fill="auto"/>
            <w:vAlign w:val="top"/>
          </w:tcPr>
          <w:p w14:paraId="2B33A3A4">
            <w:pPr>
              <w:jc w:val="center"/>
              <w:rPr>
                <w:rFonts w:hint="default"/>
                <w:vertAlign w:val="baseline"/>
                <w:lang w:val="en-US" w:eastAsia="zh-CN"/>
              </w:rPr>
            </w:pPr>
            <w:r>
              <w:rPr>
                <w:rFonts w:hint="eastAsia"/>
                <w:vertAlign w:val="baseline"/>
                <w:lang w:val="en-US" w:eastAsia="zh-CN"/>
              </w:rPr>
              <w:t>BDCDC</w:t>
            </w:r>
          </w:p>
        </w:tc>
      </w:tr>
      <w:tr w14:paraId="52A7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0418F91">
            <w:pPr>
              <w:jc w:val="center"/>
              <w:rPr>
                <w:rFonts w:hint="default"/>
                <w:vertAlign w:val="baseline"/>
                <w:lang w:val="en-US" w:eastAsia="zh-CN"/>
              </w:rPr>
            </w:pPr>
          </w:p>
        </w:tc>
        <w:tc>
          <w:tcPr>
            <w:tcW w:w="1808" w:type="dxa"/>
            <w:shd w:val="clear" w:color="auto" w:fill="auto"/>
            <w:vAlign w:val="top"/>
          </w:tcPr>
          <w:p w14:paraId="527F59A3">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61-65</w:t>
            </w:r>
          </w:p>
        </w:tc>
        <w:tc>
          <w:tcPr>
            <w:tcW w:w="2458" w:type="dxa"/>
            <w:shd w:val="clear" w:color="auto" w:fill="auto"/>
            <w:vAlign w:val="top"/>
          </w:tcPr>
          <w:p w14:paraId="5202B13D">
            <w:pPr>
              <w:jc w:val="center"/>
              <w:rPr>
                <w:rFonts w:hint="default"/>
                <w:vertAlign w:val="baseline"/>
                <w:lang w:val="en-US" w:eastAsia="zh-CN"/>
              </w:rPr>
            </w:pPr>
            <w:r>
              <w:rPr>
                <w:rFonts w:hint="eastAsia"/>
                <w:vertAlign w:val="baseline"/>
                <w:lang w:val="en-US" w:eastAsia="zh-CN"/>
              </w:rPr>
              <w:t>DBBAA</w:t>
            </w:r>
          </w:p>
        </w:tc>
      </w:tr>
      <w:tr w14:paraId="611B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7401445">
            <w:pPr>
              <w:jc w:val="center"/>
              <w:rPr>
                <w:rFonts w:hint="eastAsia"/>
                <w:vertAlign w:val="baseline"/>
                <w:lang w:val="en-US" w:eastAsia="zh-CN"/>
              </w:rPr>
            </w:pPr>
          </w:p>
        </w:tc>
        <w:tc>
          <w:tcPr>
            <w:tcW w:w="1808" w:type="dxa"/>
            <w:shd w:val="clear" w:color="auto" w:fill="auto"/>
            <w:vAlign w:val="top"/>
          </w:tcPr>
          <w:p w14:paraId="004F15B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66-70</w:t>
            </w:r>
          </w:p>
        </w:tc>
        <w:tc>
          <w:tcPr>
            <w:tcW w:w="2458" w:type="dxa"/>
            <w:shd w:val="clear" w:color="auto" w:fill="auto"/>
            <w:vAlign w:val="top"/>
          </w:tcPr>
          <w:p w14:paraId="0055EBA4">
            <w:pPr>
              <w:jc w:val="center"/>
              <w:rPr>
                <w:rFonts w:hint="default"/>
                <w:vertAlign w:val="baseline"/>
                <w:lang w:val="en-US" w:eastAsia="zh-CN"/>
              </w:rPr>
            </w:pPr>
            <w:r>
              <w:rPr>
                <w:rFonts w:hint="eastAsia"/>
                <w:vertAlign w:val="baseline"/>
                <w:lang w:val="en-US" w:eastAsia="zh-CN"/>
              </w:rPr>
              <w:t>ABACB</w:t>
            </w:r>
          </w:p>
        </w:tc>
      </w:tr>
      <w:tr w14:paraId="4CF2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EC44C4E">
            <w:pPr>
              <w:jc w:val="center"/>
              <w:rPr>
                <w:rFonts w:hint="default"/>
                <w:vertAlign w:val="baseline"/>
                <w:lang w:val="en-US" w:eastAsia="zh-CN"/>
              </w:rPr>
            </w:pPr>
          </w:p>
        </w:tc>
        <w:tc>
          <w:tcPr>
            <w:tcW w:w="1808" w:type="dxa"/>
            <w:shd w:val="clear" w:color="auto" w:fill="auto"/>
            <w:vAlign w:val="top"/>
          </w:tcPr>
          <w:p w14:paraId="01AE49B0">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71-75</w:t>
            </w:r>
          </w:p>
        </w:tc>
        <w:tc>
          <w:tcPr>
            <w:tcW w:w="2458" w:type="dxa"/>
            <w:shd w:val="clear" w:color="auto" w:fill="auto"/>
            <w:vAlign w:val="top"/>
          </w:tcPr>
          <w:p w14:paraId="084EDE77">
            <w:pPr>
              <w:jc w:val="center"/>
              <w:rPr>
                <w:rFonts w:hint="default"/>
                <w:vertAlign w:val="baseline"/>
                <w:lang w:val="en-US" w:eastAsia="zh-CN"/>
              </w:rPr>
            </w:pPr>
            <w:r>
              <w:rPr>
                <w:rFonts w:hint="eastAsia"/>
                <w:vertAlign w:val="baseline"/>
                <w:lang w:val="en-US" w:eastAsia="zh-CN"/>
              </w:rPr>
              <w:t>DCBDA</w:t>
            </w:r>
          </w:p>
        </w:tc>
      </w:tr>
      <w:tr w14:paraId="6EFD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4925AEB1">
            <w:pPr>
              <w:jc w:val="center"/>
              <w:rPr>
                <w:rFonts w:hint="eastAsia"/>
                <w:vertAlign w:val="baseline"/>
                <w:lang w:val="en-US" w:eastAsia="zh-CN"/>
              </w:rPr>
            </w:pPr>
          </w:p>
        </w:tc>
        <w:tc>
          <w:tcPr>
            <w:tcW w:w="1808" w:type="dxa"/>
            <w:shd w:val="clear" w:color="auto" w:fill="auto"/>
            <w:vAlign w:val="top"/>
          </w:tcPr>
          <w:p w14:paraId="276E0E99">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76-80</w:t>
            </w:r>
          </w:p>
        </w:tc>
        <w:tc>
          <w:tcPr>
            <w:tcW w:w="2458" w:type="dxa"/>
            <w:shd w:val="clear" w:color="auto" w:fill="auto"/>
            <w:vAlign w:val="top"/>
          </w:tcPr>
          <w:p w14:paraId="02A422E6">
            <w:pPr>
              <w:jc w:val="center"/>
              <w:rPr>
                <w:rFonts w:hint="default"/>
                <w:vertAlign w:val="baseline"/>
                <w:lang w:val="en-US" w:eastAsia="zh-CN"/>
              </w:rPr>
            </w:pPr>
            <w:r>
              <w:rPr>
                <w:rFonts w:hint="eastAsia"/>
                <w:vertAlign w:val="baseline"/>
                <w:lang w:val="en-US" w:eastAsia="zh-CN"/>
              </w:rPr>
              <w:t>DBADB</w:t>
            </w:r>
          </w:p>
        </w:tc>
      </w:tr>
      <w:tr w14:paraId="444AA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252A27E">
            <w:pPr>
              <w:jc w:val="center"/>
              <w:rPr>
                <w:rFonts w:hint="eastAsia"/>
                <w:vertAlign w:val="baseline"/>
                <w:lang w:val="en-US" w:eastAsia="zh-CN"/>
              </w:rPr>
            </w:pPr>
          </w:p>
        </w:tc>
        <w:tc>
          <w:tcPr>
            <w:tcW w:w="1808" w:type="dxa"/>
            <w:shd w:val="clear" w:color="auto" w:fill="auto"/>
            <w:vAlign w:val="top"/>
          </w:tcPr>
          <w:p w14:paraId="19F1380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81-85</w:t>
            </w:r>
          </w:p>
        </w:tc>
        <w:tc>
          <w:tcPr>
            <w:tcW w:w="2458" w:type="dxa"/>
            <w:shd w:val="clear" w:color="auto" w:fill="auto"/>
            <w:vAlign w:val="top"/>
          </w:tcPr>
          <w:p w14:paraId="535ADD98">
            <w:pPr>
              <w:jc w:val="center"/>
              <w:rPr>
                <w:rFonts w:hint="default"/>
                <w:vertAlign w:val="baseline"/>
                <w:lang w:val="en-US" w:eastAsia="zh-CN"/>
              </w:rPr>
            </w:pPr>
            <w:r>
              <w:rPr>
                <w:rFonts w:hint="eastAsia"/>
                <w:vertAlign w:val="baseline"/>
                <w:lang w:val="en-US" w:eastAsia="zh-CN"/>
              </w:rPr>
              <w:t>CACDB</w:t>
            </w:r>
          </w:p>
        </w:tc>
      </w:tr>
      <w:tr w14:paraId="73307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3B48962">
            <w:pPr>
              <w:jc w:val="center"/>
              <w:rPr>
                <w:rFonts w:hint="default"/>
                <w:vertAlign w:val="baseline"/>
                <w:lang w:val="en-US" w:eastAsia="zh-CN"/>
              </w:rPr>
            </w:pPr>
            <w:r>
              <w:rPr>
                <w:rFonts w:hint="eastAsia"/>
                <w:vertAlign w:val="baseline"/>
                <w:lang w:val="en-US" w:eastAsia="zh-CN"/>
              </w:rPr>
              <w:t>资料分析</w:t>
            </w:r>
          </w:p>
        </w:tc>
        <w:tc>
          <w:tcPr>
            <w:tcW w:w="1808" w:type="dxa"/>
            <w:shd w:val="clear" w:color="auto" w:fill="auto"/>
            <w:vAlign w:val="top"/>
          </w:tcPr>
          <w:p w14:paraId="03E32FA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86-90</w:t>
            </w:r>
          </w:p>
        </w:tc>
        <w:tc>
          <w:tcPr>
            <w:tcW w:w="2458" w:type="dxa"/>
            <w:shd w:val="clear" w:color="auto" w:fill="auto"/>
            <w:vAlign w:val="top"/>
          </w:tcPr>
          <w:p w14:paraId="1703FA4C">
            <w:pPr>
              <w:jc w:val="center"/>
              <w:rPr>
                <w:rFonts w:hint="default"/>
                <w:vertAlign w:val="baseline"/>
                <w:lang w:val="en-US" w:eastAsia="zh-CN"/>
              </w:rPr>
            </w:pPr>
            <w:r>
              <w:rPr>
                <w:rFonts w:hint="eastAsia"/>
                <w:vertAlign w:val="baseline"/>
                <w:lang w:val="en-US" w:eastAsia="zh-CN"/>
              </w:rPr>
              <w:t>CBCAD</w:t>
            </w:r>
          </w:p>
        </w:tc>
      </w:tr>
      <w:tr w14:paraId="0B2FA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1BA8CFD">
            <w:pPr>
              <w:jc w:val="center"/>
              <w:rPr>
                <w:rFonts w:hint="eastAsia"/>
                <w:vertAlign w:val="baseline"/>
                <w:lang w:val="en-US" w:eastAsia="zh-CN"/>
              </w:rPr>
            </w:pPr>
          </w:p>
        </w:tc>
        <w:tc>
          <w:tcPr>
            <w:tcW w:w="1808" w:type="dxa"/>
            <w:shd w:val="clear" w:color="auto" w:fill="auto"/>
            <w:vAlign w:val="top"/>
          </w:tcPr>
          <w:p w14:paraId="7A69A0C0">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91-95</w:t>
            </w:r>
          </w:p>
        </w:tc>
        <w:tc>
          <w:tcPr>
            <w:tcW w:w="2458" w:type="dxa"/>
            <w:shd w:val="clear" w:color="auto" w:fill="auto"/>
            <w:vAlign w:val="top"/>
          </w:tcPr>
          <w:p w14:paraId="5C68691F">
            <w:pPr>
              <w:jc w:val="center"/>
              <w:rPr>
                <w:rFonts w:hint="default"/>
                <w:vertAlign w:val="baseline"/>
                <w:lang w:val="en-US" w:eastAsia="zh-CN"/>
              </w:rPr>
            </w:pPr>
            <w:r>
              <w:rPr>
                <w:rFonts w:hint="eastAsia"/>
                <w:vertAlign w:val="baseline"/>
                <w:lang w:val="en-US" w:eastAsia="zh-CN"/>
              </w:rPr>
              <w:t>BCDAB</w:t>
            </w:r>
          </w:p>
        </w:tc>
      </w:tr>
      <w:tr w14:paraId="0ACC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C6D0B45">
            <w:pPr>
              <w:jc w:val="center"/>
              <w:rPr>
                <w:rFonts w:hint="eastAsia"/>
                <w:vertAlign w:val="baseline"/>
                <w:lang w:val="en-US" w:eastAsia="zh-CN"/>
              </w:rPr>
            </w:pPr>
          </w:p>
        </w:tc>
        <w:tc>
          <w:tcPr>
            <w:tcW w:w="1808" w:type="dxa"/>
            <w:shd w:val="clear" w:color="auto" w:fill="auto"/>
            <w:vAlign w:val="top"/>
          </w:tcPr>
          <w:p w14:paraId="47F6278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96-100</w:t>
            </w:r>
          </w:p>
        </w:tc>
        <w:tc>
          <w:tcPr>
            <w:tcW w:w="2458" w:type="dxa"/>
            <w:shd w:val="clear" w:color="auto" w:fill="auto"/>
            <w:vAlign w:val="top"/>
          </w:tcPr>
          <w:p w14:paraId="0151FB76">
            <w:pPr>
              <w:jc w:val="center"/>
              <w:rPr>
                <w:rFonts w:hint="default"/>
                <w:vertAlign w:val="baseline"/>
                <w:lang w:val="en-US" w:eastAsia="zh-CN"/>
              </w:rPr>
            </w:pPr>
            <w:r>
              <w:rPr>
                <w:rFonts w:hint="eastAsia"/>
                <w:vertAlign w:val="baseline"/>
                <w:lang w:val="en-US" w:eastAsia="zh-CN"/>
              </w:rPr>
              <w:t>CBADD</w:t>
            </w:r>
            <w:bookmarkStart w:id="0" w:name="_GoBack"/>
            <w:bookmarkEnd w:id="0"/>
          </w:p>
        </w:tc>
      </w:tr>
    </w:tbl>
    <w:p w14:paraId="43F28F0E">
      <w:pPr>
        <w:rPr>
          <w:rFonts w:hint="eastAsia"/>
          <w:lang w:val="en-US" w:eastAsia="zh-CN"/>
        </w:rPr>
        <w:sectPr>
          <w:footerReference r:id="rId3" w:type="default"/>
          <w:pgSz w:w="11906" w:h="16838"/>
          <w:pgMar w:top="1440" w:right="1800" w:bottom="1440" w:left="1800" w:header="851" w:footer="992" w:gutter="0"/>
          <w:cols w:space="425" w:num="1"/>
          <w:docGrid w:type="lines" w:linePitch="312" w:charSpace="0"/>
        </w:sectPr>
      </w:pPr>
    </w:p>
    <w:p w14:paraId="6DB0E07A">
      <w:pPr>
        <w:rPr>
          <w:rFonts w:hint="eastAsia"/>
          <w:lang w:val="en-US" w:eastAsia="zh-CN"/>
        </w:rPr>
      </w:pPr>
      <w:r>
        <w:rPr>
          <w:rFonts w:hint="eastAsia"/>
          <w:lang w:val="en-US" w:eastAsia="zh-CN"/>
        </w:rPr>
        <w:t>1.D</w:t>
      </w:r>
    </w:p>
    <w:p w14:paraId="6190836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本题考查时政真题。</w:t>
      </w:r>
    </w:p>
    <w:p w14:paraId="72B2D7C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关于进一步做好事业单位公开招聘工作的通知》指出：“高校、科研院所、公立医院以及其他规模较大的面向社会提供公益服务的事业单位，可以按照规定程序和要求自主组织开展公开招聘。”故“须由相应主管部门统一组织”表述错误。</w:t>
      </w:r>
    </w:p>
    <w:p w14:paraId="7B700E5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关于进一步做好事业单位公开招聘工作的通知》指出：“资格审查应当严格规范。要按照招聘公告明确的资格条件进行资格审查，符合公告所列条件的应聘人员原则上都应当允许进入下一个招聘环节，不得进行‘简历筛选’。资格审查工作不得委托考试服务机构等第三方进行。”故“可以委托考试服务机构进行相关资格审查工作”表述错误。</w:t>
      </w:r>
    </w:p>
    <w:p w14:paraId="1C5FF9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关于进一步做好事业单位公开招聘工作的通知》指出：“各地区各部门各单位不得自行制定面向特定人员的专项招聘、加分等事业单位公开招聘倾斜政策，不得随意扩大国家规定的倾斜政策范围。省级事业单位人事综合管理部门要对本地区现有倾斜政策进行规范，确有必要继续实施的，需报中央事业单位人事综合管理部门同意。”故“可以自行制定面向特定人员的事业单位专项招聘、考试加分等政策”表述错误。</w:t>
      </w:r>
    </w:p>
    <w:p w14:paraId="32D98B2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关于进一步做好事业单位公开招聘工作的通知》指出：“规范招聘信息发布工作。招聘公告、补充公告等信息按程序备案后须在事业单位人事综合管理部门招聘平台公开发布，可同时在事业单位或者主管部门网站显著位置发布，不得仅通过内部网站、社交媒体或者张贴布告等方式在特定人员范围内发布。”</w:t>
      </w:r>
    </w:p>
    <w:p w14:paraId="5A3752C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3B07EE93">
      <w:pPr>
        <w:rPr>
          <w:rFonts w:hint="default"/>
          <w:lang w:val="en-US" w:eastAsia="zh-CN"/>
        </w:rPr>
      </w:pPr>
    </w:p>
    <w:p w14:paraId="49362F5E">
      <w:pPr>
        <w:rPr>
          <w:rFonts w:hint="eastAsia"/>
          <w:lang w:val="en-US" w:eastAsia="zh-CN"/>
        </w:rPr>
      </w:pPr>
      <w:r>
        <w:rPr>
          <w:rFonts w:hint="eastAsia"/>
          <w:lang w:val="en-US" w:eastAsia="zh-CN"/>
        </w:rPr>
        <w:t>2.B</w:t>
      </w:r>
    </w:p>
    <w:p w14:paraId="700E650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本题考查时政真题。</w:t>
      </w:r>
    </w:p>
    <w:p w14:paraId="3CEE4E1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C、D项正确，B项错误，《中共中央关于进一步全面深化改革 推进中国式现代化的决定》中指出：“总结和运用改革开放以来特别是新时代全面深化改革的宝贵经验，贯彻以下原则：坚持党的全面领导；坚持以人民为中心；坚持守正创新；坚持以制度建设为主线；坚持全面依法治国；坚持系统观念。”其中不包括“坚持高质量发展”。</w:t>
      </w:r>
    </w:p>
    <w:p w14:paraId="22671E0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354EF6F1">
      <w:pPr>
        <w:rPr>
          <w:rFonts w:hint="default"/>
          <w:lang w:val="en-US" w:eastAsia="zh-CN"/>
        </w:rPr>
      </w:pPr>
    </w:p>
    <w:p w14:paraId="4A393782">
      <w:pPr>
        <w:rPr>
          <w:rFonts w:hint="eastAsia"/>
          <w:lang w:val="en-US" w:eastAsia="zh-CN"/>
        </w:rPr>
      </w:pPr>
      <w:r>
        <w:rPr>
          <w:rFonts w:hint="eastAsia"/>
          <w:lang w:val="en-US" w:eastAsia="zh-CN"/>
        </w:rPr>
        <w:t>3.A</w:t>
      </w:r>
    </w:p>
    <w:p w14:paraId="43BD753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本题考查时事政治。</w:t>
      </w:r>
    </w:p>
    <w:p w14:paraId="47624D3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中共中央关于进一步全面深化改革，推进中国式现代化的决定》指出，“改进科技计划管理，强化基础研究领域、交叉前沿领域、重点领域前瞻性、引领性布局。······深化科技评价体系改革，加强科技伦理治理，严肃整治学术不端行为。”故选项表述正确。</w:t>
      </w:r>
    </w:p>
    <w:p w14:paraId="7CE4C15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中共中央关于进一步全面深化改革，推进中国式现代化的决定》指出，“优化区域教育资源配置，建立同人口变化相协调的基本公共教育服务供给机制。完善义务教育优质均衡推进机制，探索逐步扩大免费教育范围。”故“与区域经济发展水平相协调的义务教育”的说法错误，应是“建立同人口变化相协调的基本公共教育服务供给机制”。</w:t>
      </w:r>
    </w:p>
    <w:p w14:paraId="5D27D03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中共中央关于进一步全面深化改革，推进中国式现代化的决定》指出，“强化人才激励机制，坚持向用人主体授权、为人才松绑。建立以创新能力、质量、实效、贡献为导向的人才评价体系。打通高校、科研院所和企业人才交流通道。”故“以创新理念、研究成果为导向”的说法错误，应是“以创新能力、质量、实效、贡献为导向”。</w:t>
      </w:r>
    </w:p>
    <w:p w14:paraId="1B511F5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中共中央关于进一步全面深化改革，推进中国式现代化的决定》指出，“强化企业科技创新主体地位，建立培育壮大科技领军企业机制，加强企业主导的产学研深度融合，建立企业研发准备金制度，支持企业主动牵头或参与国家科技攻关任务。······鼓励和引导高校、科研院所按照先使用后付费方式把科技成果许可给中小微企业使用。”故“先付费后使用”的说法错误，应是“先使用后付费”。</w:t>
      </w:r>
    </w:p>
    <w:p w14:paraId="00C95CE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43206343">
      <w:pPr>
        <w:rPr>
          <w:rFonts w:hint="default"/>
          <w:lang w:val="en-US" w:eastAsia="zh-CN"/>
        </w:rPr>
      </w:pPr>
    </w:p>
    <w:p w14:paraId="13F6696E">
      <w:pPr>
        <w:rPr>
          <w:rFonts w:hint="eastAsia"/>
          <w:lang w:val="en-US" w:eastAsia="zh-CN"/>
        </w:rPr>
      </w:pPr>
      <w:r>
        <w:rPr>
          <w:rFonts w:hint="eastAsia"/>
          <w:lang w:val="en-US" w:eastAsia="zh-CN"/>
        </w:rPr>
        <w:t>4.B</w:t>
      </w:r>
    </w:p>
    <w:p w14:paraId="3DD4778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本题考查法律常识。</w:t>
      </w:r>
    </w:p>
    <w:p w14:paraId="706504E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根据《中华人民共和国保守国家秘密法实施条例》第六十九条规定：“网络运营者违反保密法律法规，有下列情形之一的，由保密行政管理等部门按照各自职责分工责令限期整改，给予警告或者通报批评；情节严重的，处5万元以上50万元以下罚款，对直接负责的主管人员和其他直接责任人员处1万元以上10万元以下罚款：（一）发生泄密事件，未依法采取补救措施的；（二）未依法配合保密行政管理部门实施保密违法案件调查、预警事件排查的。”由此可知，泄密事件的处理通常由保密行政管理等部门按照各自职责负责，而不是公安机关。</w:t>
      </w:r>
    </w:p>
    <w:p w14:paraId="14D18DD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根据《中华人民共和国保守国家秘密法实施条例》第二十七条规定：“国家秘密载体管理应当遵守下列规定：······（五）复制国家秘密载体或者摘录、引用、汇编属于国家秘密的内容，应当按照规定报批，不得擅自改变原件的密级、保密期限和知悉范围，复制件应当加盖复制机关、单位戳记，并视同原件进行管理；······”由此可知，复制国家秘密载体或汇编属于国家秘密的内容应当按照规定报批。</w:t>
      </w:r>
    </w:p>
    <w:p w14:paraId="2CE4204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根据《中华人民共和国保守国家秘密法实施条例》第六条第一款规定：“机关、单位实行保密工作责任制，承担本机关、本单位保密工作主体责任。机关、单位主要负责人对本机关、本单位的保密工作负总责，分管保密工作的负责人和分管业务工作的负责人在职责范围内对保密工作负领导责任，工作人员对本岗位的保密工作负直接责任。”由此可知，应当是机关、单位主要负责人对本机关、本单位的保密工作负总责。</w:t>
      </w:r>
    </w:p>
    <w:p w14:paraId="1182DB7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根据《中华人民共和国保守国家秘密法实施条例》第二十二条第三款规定：“已经依法移交各级国家档案馆的属于国家秘密的档案，由原定密机关、单位按照国家有关规定进行解密审核。”由此可知，已经依法移交档案馆的属于国家秘密档案的，由原定密机关、单位按照国家有关规定进行解密审核，而非“档案馆”进行审核并解密。</w:t>
      </w:r>
    </w:p>
    <w:p w14:paraId="4C92247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E2C021F">
      <w:pPr>
        <w:rPr>
          <w:rFonts w:hint="default"/>
          <w:lang w:val="en-US" w:eastAsia="zh-CN"/>
        </w:rPr>
      </w:pPr>
    </w:p>
    <w:p w14:paraId="33756073">
      <w:pPr>
        <w:rPr>
          <w:rFonts w:hint="eastAsia"/>
          <w:lang w:val="en-US" w:eastAsia="zh-CN"/>
        </w:rPr>
      </w:pPr>
      <w:r>
        <w:rPr>
          <w:rFonts w:hint="eastAsia"/>
          <w:lang w:val="en-US" w:eastAsia="zh-CN"/>
        </w:rPr>
        <w:t>5.C</w:t>
      </w:r>
    </w:p>
    <w:p w14:paraId="27BE08E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本题考查法律常识。</w:t>
      </w:r>
    </w:p>
    <w:p w14:paraId="414B17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知识产权，是指权利人对其所创作的智力劳动成果依法享有的专有权利，包括著作权、商标权和专利权。</w:t>
      </w:r>
    </w:p>
    <w:p w14:paraId="64E1FB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B项正确，根据《著作权法》第二条第一款规定：“中国公民、法人或者非法人组织的作品，不论是否发表，依照本法享有著作权。”第三条规定：“本法所称的作品，是指文学、艺术和科学领域内具有独创性并能以一定形式表现的智力成果，包括：（一）文字作品；（二）口述作品；（三）音乐、戏剧、曲艺、舞蹈、杂技艺术作品；（四）美术、建筑作品；（五）摄影作品；（六）视听作品；（七）工程设计图、产品设计图、地图、示意图等图形作品和模型作品；（八）计算机软件；（九）符合作品特征的其他智力成果。”A项中，张某创作的网络小说是“文字作品”，属于知识产权保护范围；B项中，甲公司制作并通过审批上线的动画片中的人物形象，是创作者通过智力劳动创作出来的独特艺术表达，属于“美术作品”，受知识产权保护。</w:t>
      </w:r>
    </w:p>
    <w:p w14:paraId="4342950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中华人民共和国商标法》第八条规定:“任何能够将自然人、法人或者其他组织的商品与他人的商品区别开的标志，包括文字、图形、字母、数字、三维标志、颜色组合和声音等，以及上述要素的组合，均可以作为商标申请注册。”单纯的颜色组合通常不属于知识产权保护的对象，该项未提及“红色和绿色”是否具有显著性并注册为商标，因此默认不属于知识产权保护的范围。</w:t>
      </w:r>
    </w:p>
    <w:p w14:paraId="3529D51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中华人民共和国民法典》第一百二十三条规定：“民事主体依法享有知识产权。知识产权是权利人依法就下列客体享有的专有的权利：（一）作品；（二）发明、实用新型、外观设计；（三）商标；（四）地理标志；（五）商业秘密；（六）集成电路布图设计；（七）植物新品种；（八）法律规定的其他客体。”故植物新品种属于知识产权保护的对象。</w:t>
      </w:r>
    </w:p>
    <w:p w14:paraId="59D51E8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586ABD90">
      <w:pPr>
        <w:rPr>
          <w:rFonts w:hint="default"/>
          <w:lang w:val="en-US" w:eastAsia="zh-CN"/>
        </w:rPr>
      </w:pPr>
    </w:p>
    <w:p w14:paraId="6D6050D9">
      <w:pPr>
        <w:rPr>
          <w:rFonts w:hint="eastAsia"/>
          <w:lang w:val="en-US" w:eastAsia="zh-CN"/>
        </w:rPr>
      </w:pPr>
      <w:r>
        <w:rPr>
          <w:rFonts w:hint="eastAsia"/>
          <w:lang w:val="en-US" w:eastAsia="zh-CN"/>
        </w:rPr>
        <w:t>6.C</w:t>
      </w:r>
    </w:p>
    <w:p w14:paraId="47315FE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629FEF9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1945年4月23日至6月11日，中国共产党第七次全国代表大会在延安召开，会上刘少奇作了《关于修改党章的报告》。党的七大通过的党章是第一部我们党完全独立自主修改的党章，充分证明党的成熟和坚强。</w:t>
      </w:r>
    </w:p>
    <w:p w14:paraId="58045BB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中共七大首次在党章中规定党员的权利和义务。其中权利为：在党的会议或党的刊物上，参加关于党的政策的实施问题自由的讨论；党内的选举权和被选举权；向党的任何机关直至中央提出建议和声明；在党的会议上批评党的任何工作人员。所以，向党的任何机关提出建议是党员的权利之一。</w:t>
      </w:r>
    </w:p>
    <w:p w14:paraId="546D15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中共七大通过的党章明确指出，中国共产党以马克思列宁主义的理论与中国革命的实践之统一的思想——毛泽东思想，作为自己一切工作的指针。中共七大第一次将毛泽东思想确立为党的指导思想写进党章，这是马克思主义中国化的第一次历史性飞跃。</w:t>
      </w:r>
    </w:p>
    <w:p w14:paraId="0D5269D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五大党章第一次在组织原则和组织制度方面，明确规定“党部的指导原则为民主集中制”，这是从党的根本法规的高度第一次出现民主集中制的提法。七大党章发展和完善了民主集中制原则，明确了“民主的集中制，即是在民主基础上的集中和在集中指导下的民主”。因此，第一次明确规定党部的指导原则为民主集中制是在五大党章，而不是七大党章。</w:t>
      </w:r>
    </w:p>
    <w:p w14:paraId="3837B83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七大党章首次增写总纲部分，阐明了党的性质、奋斗目标、指导思想、根本宗旨和优良作风等重大问题。其中第一次明确规定党的性质，中国共产党“是中国工人阶级的先进的有组织的部队，是它的阶级组织的最高形式”。</w:t>
      </w:r>
    </w:p>
    <w:p w14:paraId="71F32C7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27EEE21A">
      <w:pPr>
        <w:rPr>
          <w:rFonts w:hint="default"/>
          <w:lang w:val="en-US" w:eastAsia="zh-CN"/>
        </w:rPr>
      </w:pPr>
    </w:p>
    <w:p w14:paraId="32B6ECA4">
      <w:pPr>
        <w:rPr>
          <w:rFonts w:hint="eastAsia"/>
          <w:lang w:val="en-US" w:eastAsia="zh-CN"/>
        </w:rPr>
      </w:pPr>
      <w:r>
        <w:rPr>
          <w:rFonts w:hint="eastAsia"/>
          <w:lang w:val="en-US" w:eastAsia="zh-CN"/>
        </w:rPr>
        <w:t>7.A</w:t>
      </w:r>
    </w:p>
    <w:p w14:paraId="4B782B6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185245F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1947年5月13日至16日，人民解放军华东野战军遵照毛泽东的指示，在陈毅、粟裕的指挥下，发扬敢打必胜的革命英雄主义精神，在孟良崮进行了一场山地运动歼灭战，全歼国民党“五大主力之首”的整编第74师，一举扭转了华东战局。所以，孟良崮战役的作战主力不是东北野战军，而是华东野战军。</w:t>
      </w:r>
    </w:p>
    <w:p w14:paraId="79E11CD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淮海战役，国民党称“徐蚌会战”，是解放战争时期中国人民解放军中原野战军、中国人民解放军华东野战军在以徐州为中心，东起海州（连云港），西至商丘，北起临城（今枣庄市薛城），南达淮河的广大地区，对国民党军队进行的战略性进攻战役。此战于1948年11月6日开始，1949年1月10日结束。我军主要指挥官有刘伯承、邓小平、陈毅、粟裕。</w:t>
      </w:r>
    </w:p>
    <w:p w14:paraId="4006FC6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C项正确，1949年4月20日，以“百万雄师过大江”为标志，解放战争进入战略追击阶段。渡江战役是解放战争战略追击阶段第一个大的战役，中国人民解放军百万雄师过大江，解放南京，结束了国民党的反动统治。</w:t>
      </w:r>
    </w:p>
    <w:p w14:paraId="22912DB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D项正确，在1948年11月辽沈战役结束之后，我军在全国的兵力突破了300万人，国民党军队总兵力则从最高峰时期的800万人下降到290万人，我军兵力数量上超越了国军。</w:t>
      </w:r>
    </w:p>
    <w:p w14:paraId="02F9B8C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1F3E8BAF">
      <w:pPr>
        <w:rPr>
          <w:rFonts w:hint="default"/>
          <w:lang w:val="en-US" w:eastAsia="zh-CN"/>
        </w:rPr>
      </w:pPr>
    </w:p>
    <w:p w14:paraId="0FB8E59C">
      <w:pPr>
        <w:rPr>
          <w:rFonts w:hint="eastAsia"/>
          <w:lang w:val="en-US" w:eastAsia="zh-CN"/>
        </w:rPr>
      </w:pPr>
      <w:r>
        <w:rPr>
          <w:rFonts w:hint="eastAsia"/>
          <w:lang w:val="en-US" w:eastAsia="zh-CN"/>
        </w:rPr>
        <w:t>8.A</w:t>
      </w:r>
    </w:p>
    <w:p w14:paraId="6C3EC6D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7B220F2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A项错误，青白瓷是宋代景德镇窑烧制成的一种具有独特风格的瓷器，至南宋时形成了以景德镇为中心的南方青白瓷系。唐朝在宋朝之前，因此在唐朝不可能看到景德镇的青白瓷。</w:t>
      </w:r>
    </w:p>
    <w:p w14:paraId="64D4527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我国茶叶种植历史悠久，早在公元前1000多年的周朝时期，四川彭水、绵竹、彭山一带就有人工栽培种植茶树的记载（《华阳国志》）。唐代著名茶学家、茶圣陆羽，在他的著作《茶经》中，曾经将我国茶叶种植地区划为八大产区，分别是山南、淮南、剑南、浙东、浙西、黔中、江西、岭南等茶区。因此在唐朝有可能看到江南地区的丘陵地带种植茶叶。</w:t>
      </w:r>
    </w:p>
    <w:p w14:paraId="4677C52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坊市，意为街市。唐朝是我国封建社会经济发展的繁荣时期，坊市制度的发展十分成熟，市门早晚定时启闭，对启闭时间有着严格明确的规定，按时关闭和开启市门。因此在唐朝可以看到长安城中的坊市按时开启和关闭。</w:t>
      </w:r>
    </w:p>
    <w:p w14:paraId="468016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D项正确，琉璃是玻璃在古代的叫法，但与现代玻璃制品的材质完全不一样，可以说琉璃是国产玻璃。春秋中期，最晚至春秋中后期已经制作出真正的琉璃，并开始在全国普及。因此在唐朝可以用琉璃杯。</w:t>
      </w:r>
    </w:p>
    <w:p w14:paraId="2D48F1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历史记载，大约在公元前5世纪，中国历史上的春秋时期，葡萄与葡萄酒来到了西域。到了西汉时期，随着汉武帝派张骞出使西域，张骞从西域带回了酿酒葡萄和葡萄酒，葡萄酒正式开始在中国传播开来。因此在唐朝可以看到贵族宴会上用琉璃杯盛装葡萄酒。</w:t>
      </w:r>
    </w:p>
    <w:p w14:paraId="2A12354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5193EF3C">
      <w:pPr>
        <w:rPr>
          <w:rFonts w:hint="default"/>
          <w:lang w:val="en-US" w:eastAsia="zh-CN"/>
        </w:rPr>
      </w:pPr>
    </w:p>
    <w:p w14:paraId="108345EF">
      <w:pPr>
        <w:rPr>
          <w:rFonts w:hint="eastAsia"/>
          <w:lang w:val="en-US" w:eastAsia="zh-CN"/>
        </w:rPr>
      </w:pPr>
      <w:r>
        <w:rPr>
          <w:rFonts w:hint="eastAsia"/>
          <w:lang w:val="en-US" w:eastAsia="zh-CN"/>
        </w:rPr>
        <w:t>9.C</w:t>
      </w:r>
    </w:p>
    <w:p w14:paraId="6F35353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5609549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何止八怪——扬州绘画三百年”是中国大运河博物馆的跨年大展，展览从全国五家重要博物馆的古代藏画中精选出四十余位扬州籍或活动于扬州的画家作品，合计约90余件，其中所展现出的沉浮、进取、繁荣、式微、衰颓，构成了一部扬州绘画二百年的兴衰史。</w:t>
      </w:r>
    </w:p>
    <w:p w14:paraId="3529B08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扬州八怪是指清朝中期，在扬州地区一带活动的一批书画作风怪异，不被当时的官方正统及民间艺术所承认的书画家的总称。其中以郑燮、金农、黄慎、李觶、李方膺、汪士慎、罗聘、高翔他们八个最为出名。</w:t>
      </w:r>
    </w:p>
    <w:p w14:paraId="562278F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B项正确，“玫瑰国度——叙利亚古代文物精品展”是中国文物交流中心与叙利亚文物和博物馆总局共同策划的精品展览，于2023年1月19日在河北博物院北区13、14号展厅开展。</w:t>
      </w:r>
    </w:p>
    <w:p w14:paraId="517844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叙利亚古名“苏里斯顿”，意为“玫瑰之地”，首都大马士革出产的玫瑰是世界上最古老、最珍贵的玫瑰品种之一，所以叙利亚也被称为“玫瑰国度”。</w:t>
      </w:r>
    </w:p>
    <w:p w14:paraId="5A66E32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C项错误，“大唐宝藏——法门寺地宫文物精粹展”是东莞市博物馆、法门寺博物馆、宝鸡青铜器博物院承办的特展，共计展出法门寺博物馆、宝鸡青铜器博物院精美展品60件。展览由“万遍磨不磷 千回涅不缁”“穷天地庄严 极人间焕丽”“人歌小岁酒 花舞大唐春”三部，“千年地宫”“皇家寺院”“千峰翠色”“金昭银辉”“异域奇珍”“四海无波”“香盈满袖”“茶沁溢远”八卷构成。</w:t>
      </w:r>
    </w:p>
    <w:p w14:paraId="0726DF4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法门寺地处陕西省宝鸡市扶风县法门镇，始建于东汉年间，被誉为皇家寺庙。唐高祖时改名“法门寺”。在唐代先后有八位皇帝六迎二送供养佛指舍利，使法门寺成为皇家寺院及举世仰望的佛教圣地，佛塔被誉为“护国真身宝塔”。</w:t>
      </w:r>
    </w:p>
    <w:p w14:paraId="35AC53D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而“荆山美玉”是“极目楚天舒——楚文化特展”中的一部分，展览以楚国的灿烂文化为主题，分“钟鸣鼎食”“坚甲利兵”“美服修容”“荆山美玉”“丹漆流韵”五个部分，展出172件（套）荆州博物馆典藏文物菁华，包括青铜礼乐器、漆木器、玉石器、丝织品等珍贵文物。故对应错误。</w:t>
      </w:r>
    </w:p>
    <w:p w14:paraId="659DFC7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浮槎万里——中国古代陶瓷海上贸易展”由中国国家博物馆主办，此次展览展出了294件精品文物，以中国古代海上贸易瓷器为主体，通过制度、生产、运输、行销、影响等几部分内容，向观众展示了自唐五代至明清时期我国古代陶瓷海上贸易的繁荣盛景。其中浮槎指古代传说中来往于海上和天河之间的木筏，在多部古籍中都有记述。</w:t>
      </w:r>
    </w:p>
    <w:p w14:paraId="0970216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3A2B12B0">
      <w:pPr>
        <w:rPr>
          <w:rFonts w:hint="default"/>
          <w:lang w:val="en-US" w:eastAsia="zh-CN"/>
        </w:rPr>
      </w:pPr>
    </w:p>
    <w:p w14:paraId="7F908D6F">
      <w:pPr>
        <w:rPr>
          <w:rFonts w:hint="eastAsia"/>
          <w:lang w:val="en-US" w:eastAsia="zh-CN"/>
        </w:rPr>
      </w:pPr>
      <w:r>
        <w:rPr>
          <w:rFonts w:hint="eastAsia"/>
          <w:lang w:val="en-US" w:eastAsia="zh-CN"/>
        </w:rPr>
        <w:t>10.D</w:t>
      </w:r>
    </w:p>
    <w:p w14:paraId="5BB297C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本题考查人文历史。</w:t>
      </w:r>
    </w:p>
    <w:p w14:paraId="34DBD57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淝水之战是东晋时期前秦向东晋发起的侵略吞并的一系列战役中的决定性战役，前秦出兵伐晋，于淝水交战，最终东晋仅以少胜多大败前秦军队。“风声鹤唳”这个典故出自淝水之战，是指前秦苻坚的溃兵听到风声和鹤叫都疑心是追兵。</w:t>
      </w:r>
    </w:p>
    <w:p w14:paraId="79E304D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巨鹿之战，是秦末大起义中，项羽率领数万楚军，同秦名将章邯、王离所率四十万秦军主力在巨鹿进行的一场重大决战性战役，也是中国历史上著名的以少胜多的战役之一。项羽破釜沉舟，以大无畏精神在各诸侯军畏缩不进时率先猛攻秦军，带动诸侯义军一起最终全歼王离军，并于八个月后迫使另二十万章邯秦军投降。</w:t>
      </w:r>
    </w:p>
    <w:p w14:paraId="3203761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舍生取义”出自于《孟子·告子上·鱼我所欲也》。原句为：“生，亦我所欲也，义，亦我所欲也。二者不可得兼，舍生而取义者也。”后世据此典故引申出成语“舍生取义”，指为正义事业而牺牲生命。</w:t>
      </w:r>
    </w:p>
    <w:p w14:paraId="58DABCB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D项错误，“投桃报李”出自于《诗经·大雅·抑》。原句为：“投我以桃，报之以李。”意思是比喻友好往来或互相赠送东西。</w:t>
      </w:r>
    </w:p>
    <w:p w14:paraId="2D2C2E7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28C1A747">
      <w:pPr>
        <w:rPr>
          <w:rFonts w:hint="default"/>
          <w:lang w:val="en-US" w:eastAsia="zh-CN"/>
        </w:rPr>
      </w:pPr>
    </w:p>
    <w:p w14:paraId="08CE72D3">
      <w:pPr>
        <w:rPr>
          <w:rFonts w:hint="eastAsia"/>
          <w:lang w:val="en-US" w:eastAsia="zh-CN"/>
        </w:rPr>
      </w:pPr>
      <w:r>
        <w:rPr>
          <w:rFonts w:hint="eastAsia"/>
          <w:lang w:val="en-US" w:eastAsia="zh-CN"/>
        </w:rPr>
        <w:t>11.A</w:t>
      </w:r>
    </w:p>
    <w:p w14:paraId="2C1A1DA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3EAFABD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A项正确，在排球比赛中，球员可以用身体的任何部位击球，包括肩膀，只要击球动作符合规则，不出现持球、连击等犯规情况，肩膀触球是不会被判犯规的。</w:t>
      </w:r>
    </w:p>
    <w:p w14:paraId="3F63073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B项错误，在羽毛球双打比赛中，并没有规定同队队员必须交替接球。队员可以根据自己的战术和位置选择接球方式。</w:t>
      </w:r>
    </w:p>
    <w:p w14:paraId="462ADAD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C项错误，奥运会中的标准铁人三项比赛包括游泳1.5公里、自行车40公里和跑步10公里。而马拉松的距离是42.195公里，所以铁人三项中的跑步距离并不是马拉松距离的一半。</w:t>
      </w:r>
    </w:p>
    <w:p w14:paraId="3E6A4A0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D项错误，现代五项包括击剑（重剑）、射击、游泳、马术和跑步。跳高并不是现代五项的组成部分。</w:t>
      </w:r>
    </w:p>
    <w:p w14:paraId="4759B83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4C4CC6CD">
      <w:pPr>
        <w:rPr>
          <w:rFonts w:hint="default"/>
          <w:lang w:val="en-US" w:eastAsia="zh-CN"/>
        </w:rPr>
      </w:pPr>
    </w:p>
    <w:p w14:paraId="0F22188D">
      <w:pPr>
        <w:rPr>
          <w:rFonts w:hint="eastAsia"/>
          <w:lang w:val="en-US" w:eastAsia="zh-CN"/>
        </w:rPr>
      </w:pPr>
      <w:r>
        <w:rPr>
          <w:rFonts w:hint="eastAsia"/>
          <w:lang w:val="en-US" w:eastAsia="zh-CN"/>
        </w:rPr>
        <w:t>12.D</w:t>
      </w:r>
    </w:p>
    <w:p w14:paraId="0AA8A8C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5E04003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高山滑雪运动员会受到雪面阻力和空气阻力双重影响。高山滑雪运动员在滑行过程中，会与雪面和空气发生摩擦，因此会受到雪面阻力和空气阻力双重影响。而在雪面阻力和空气阻力中，空气阻力比重更大，根据流体力学公式：空气阻力与物体的迎风面积和速度平方的乘积成正比，为了减小空气阻力，运动员会尽量把自己蜷缩成一个球，减小迎风面积。</w:t>
      </w:r>
    </w:p>
    <w:p w14:paraId="74B6453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冰壶运动员通过擦冰摩擦生热融化冰来控制冰壶走向。当刷冰员在冰壶前面刷冰时，由于冰刷和冰摩擦会生热，这部分热量会使冰少量的融化，这样就会在冰壶和冰之间形成一层薄薄的水膜，可以减小两者之间的摩擦系数，使冰壶前进得更远。</w:t>
      </w:r>
    </w:p>
    <w:p w14:paraId="60271A8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C项正确，滑冰时冰刀刀刃会增大冰面压强，从而降低冰的熔点。冰刀设计得很薄，是为了增大与冰面的压强从而降低冰的熔点，接触点的冰融化后会减小摩擦力，更加利于滑行。</w:t>
      </w:r>
    </w:p>
    <w:p w14:paraId="3FCC2DB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D项错误，蹦床时运动员从高处下落的过程中重力势能逐渐减少。蹦床运动员在下落过程中质量不变，高度不断减小，速度越来越快，所以重力势能不断减小。</w:t>
      </w:r>
    </w:p>
    <w:p w14:paraId="210B7F3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4A8A7C29">
      <w:pPr>
        <w:rPr>
          <w:rFonts w:hint="default"/>
          <w:lang w:val="en-US" w:eastAsia="zh-CN"/>
        </w:rPr>
      </w:pPr>
    </w:p>
    <w:p w14:paraId="2BDCD491">
      <w:pPr>
        <w:rPr>
          <w:rFonts w:hint="eastAsia"/>
          <w:lang w:val="en-US" w:eastAsia="zh-CN"/>
        </w:rPr>
      </w:pPr>
      <w:r>
        <w:rPr>
          <w:rFonts w:hint="eastAsia"/>
          <w:lang w:val="en-US" w:eastAsia="zh-CN"/>
        </w:rPr>
        <w:t>13.C</w:t>
      </w:r>
    </w:p>
    <w:p w14:paraId="78149E3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196DE3F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保温瓶内胆玻璃上的银色涂层的主要作用是反射热辐射。当保温瓶内储存热液体时，瓶内的热量会以辐射的形式向外散发。镀银的玻璃能够反射这些辐射热，使得热量不会轻易散失，从而保持瓶内的温度。</w:t>
      </w:r>
    </w:p>
    <w:p w14:paraId="16DB2CA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B项正确，保温瓶的瓶盖使用软木塞或塑料材料是为了缓解热传导。软木塞和塑料材料都是热的不良导体，使用它们作为瓶盖可以减少热量通过瓶盖部分的热传导散失，从而帮助保温瓶保持水温。</w:t>
      </w:r>
    </w:p>
    <w:p w14:paraId="474506D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C项错误，玻璃的热传导性并不低，相反，它相对容易传导热量。而玻璃保温杯之所以能够有保温作用，则在于其使用的是双层玻璃结构，并在两层之间形成真空层，进而减少热量通过传导方式散失。</w:t>
      </w:r>
    </w:p>
    <w:p w14:paraId="644D8C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D项正确，保温杯的杯胆和杯身具有的真空层是保温瓶保温的关键部分。由于真空层中几乎没有介质可以传导热量，因此它能有效阻断热量通过传导方式从杯胆传递到杯身。</w:t>
      </w:r>
    </w:p>
    <w:p w14:paraId="396038D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100B67C0">
      <w:pPr>
        <w:rPr>
          <w:rFonts w:hint="default"/>
          <w:lang w:val="en-US" w:eastAsia="zh-CN"/>
        </w:rPr>
      </w:pPr>
    </w:p>
    <w:p w14:paraId="797EB138">
      <w:pPr>
        <w:rPr>
          <w:rFonts w:hint="eastAsia"/>
          <w:lang w:val="en-US" w:eastAsia="zh-CN"/>
        </w:rPr>
      </w:pPr>
      <w:r>
        <w:rPr>
          <w:rFonts w:hint="eastAsia"/>
          <w:lang w:val="en-US" w:eastAsia="zh-CN"/>
        </w:rPr>
        <w:t>14.B</w:t>
      </w:r>
    </w:p>
    <w:p w14:paraId="10A4880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3262A2B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滑动变阻器是一种可以连续改变电阻值的电器元件，常用于电路中调节电流或电压。台灯亮度的调节通常是通过改变流过灯泡的电流来实现的，当旋钮旋转时，它会改变滑动触点在电阻体上的位置，从而改变接入电路中的电阻值。由于电流与电阻成反比，电阻的变化会导致电流的变化，进而改变灯泡的亮度。因此，调节台灯亮度的旋钮是一个滑动变阻器说法正确。</w:t>
      </w:r>
    </w:p>
    <w:p w14:paraId="7A71F44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电阻是一种电路元件，用于限制电流的大小或调节电压，在电路中，电阻会消耗电能并将其转化为热能。在宾馆的插卡取电系统中，房卡的主要作用是作为一个开关，当房卡插入时，它允许电流通过，为房间提供电力。房卡本身并不具备电阻的特性，它更像是一个钥匙或开关，用于控制电路的通断。</w:t>
      </w:r>
    </w:p>
    <w:p w14:paraId="574704C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C项正确，5号电池和7号电池是常见的干电池规格，其中5号电池的体积和储电容量通常都大于7号电池。这是由它们的物理尺寸和电化学设计决定的。</w:t>
      </w:r>
    </w:p>
    <w:p w14:paraId="535126E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充电宝是移动电源的一种，移动电源的原理简单，在能找到外部电源供应的场合预先为内置的电池充电，即输入电能，并以化学能形式预先存储起来，当需要时，即由电池提供能量及产生电能，以电压转换器达至所需电压，由输出端子（一般是USB接口）输出供给所需设备提供电源作充电或其他用途。所以为手机充电时，充电宝将储存的化学能转化成电能。</w:t>
      </w:r>
    </w:p>
    <w:p w14:paraId="1E313C1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72255D0A">
      <w:pPr>
        <w:rPr>
          <w:rFonts w:hint="default"/>
          <w:lang w:val="en-US" w:eastAsia="zh-CN"/>
        </w:rPr>
      </w:pPr>
    </w:p>
    <w:p w14:paraId="2C38BA21">
      <w:pPr>
        <w:rPr>
          <w:rFonts w:hint="eastAsia"/>
          <w:lang w:val="en-US" w:eastAsia="zh-CN"/>
        </w:rPr>
      </w:pPr>
      <w:r>
        <w:rPr>
          <w:rFonts w:hint="eastAsia"/>
          <w:lang w:val="en-US" w:eastAsia="zh-CN"/>
        </w:rPr>
        <w:t>15.B</w:t>
      </w:r>
    </w:p>
    <w:p w14:paraId="0D340AB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7176AFD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A项正确，纯铁在常温常压下的自然色泽为银白色。铁能溶于强酸和中强酸，铁可以溶于强酸溶液，铁与强酸反应会生成氢气，例如铁与稀盐酸反应生成氯化亚铁和氢气。</w:t>
      </w:r>
    </w:p>
    <w:p w14:paraId="3AAB929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氢气密度非常小，远小于空气，但由于其易燃易爆的特性，并不适合用于填充白炽灯。白炽灯内部通常填充的是惰性气体（如氩气、氮气等），这些气体化学性质稳定，不易与灯丝发生反应，且能减少灯丝在高温下的蒸发，延长灯泡寿命。</w:t>
      </w:r>
    </w:p>
    <w:p w14:paraId="28325AA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C项正确，钙是一种化学性质活泼的金属元素。在化学反应中，钙的电子亲和性较低，容易失去电子，因此钙更容易通过给予电子的方式参与反应。因此它在化学反应中可以被用作还原剂。</w:t>
      </w:r>
    </w:p>
    <w:p w14:paraId="1D7AD37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D项正确，氦是一种稀有气体，化学性质稳定，且液化后的氦具有极低的温度（接近绝对零度）。在核反应堆中，为了维持某些部件的超低温状态，可以使用液化氦作为冷冻剂。</w:t>
      </w:r>
    </w:p>
    <w:p w14:paraId="1E7A642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3604B1BB">
      <w:pPr>
        <w:rPr>
          <w:rFonts w:hint="default"/>
          <w:lang w:val="en-US" w:eastAsia="zh-CN"/>
        </w:rPr>
      </w:pPr>
    </w:p>
    <w:p w14:paraId="1EC6767E">
      <w:pPr>
        <w:rPr>
          <w:rFonts w:hint="eastAsia"/>
          <w:lang w:val="en-US" w:eastAsia="zh-CN"/>
        </w:rPr>
      </w:pPr>
      <w:r>
        <w:rPr>
          <w:rFonts w:hint="eastAsia"/>
          <w:lang w:val="en-US" w:eastAsia="zh-CN"/>
        </w:rPr>
        <w:t>16.D</w:t>
      </w:r>
    </w:p>
    <w:p w14:paraId="3190B0B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530285F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水光潋滟晴方好，山色空蒙雨亦奇”出自宋代苏轼的《饮湖上初晴后雨二首·其二》，描写的是杭州西湖美景。龙井茶是中国传统名茶，著名绿茶之一，产于浙江杭州西湖龙井村一带，已有一千二百余年历史。题干中诗句描写地区与当地有名茶叶对应无误。</w:t>
      </w:r>
    </w:p>
    <w:p w14:paraId="27D0053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峰奇石奇松更奇，云飞水飞山亦飞”出自清代魏源的《黄山绝顶题文殊院》，描写了黄山的奇峰怪石。黄山毛峰是中国十大名茶之一，属于绿茶，产于安徽省黄山（徽州）一带，所以又称徽茶。题干中诗句描写地区与当地有名茶叶对应无误。</w:t>
      </w:r>
    </w:p>
    <w:p w14:paraId="00E1E36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洞庭山下湖波碧，波中万古生幽石”出自唐代吴融的《太湖石歌》，描绘了太湖石的奇特景象和自然美感。碧螺春是中国传统名茶，中国十大名茶之一，属于绿茶类，已有1000多年历史。碧螺春产于江苏省苏州市吴县太湖的东洞庭山及西洞庭山（今苏州吴中区）一带，所以又称“洞庭碧螺春”。题干中诗句描写地区与当地有名茶叶对应无误。</w:t>
      </w:r>
    </w:p>
    <w:p w14:paraId="4E2DC22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飞流直下三千尺，疑是银河落九天”出自唐朝诗人李白的《望庐山瀑布》，描述的风景位于江西省庐山。安溪铁观音，是福建安溪当地茶农发明于1725-1735年间，属于乌龙茶类，是中国十大名茶之一。题干诗句中描写地点为庐山，而铁观音是福建安溪的名茶，因此，诗句中描写地区与当地有名茶叶对应错误。</w:t>
      </w:r>
    </w:p>
    <w:p w14:paraId="6A8CACA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6DAD6467">
      <w:pPr>
        <w:rPr>
          <w:rFonts w:hint="default"/>
          <w:lang w:val="en-US" w:eastAsia="zh-CN"/>
        </w:rPr>
      </w:pPr>
    </w:p>
    <w:p w14:paraId="545DE481">
      <w:pPr>
        <w:rPr>
          <w:rFonts w:hint="eastAsia"/>
          <w:lang w:val="en-US" w:eastAsia="zh-CN"/>
        </w:rPr>
      </w:pPr>
      <w:r>
        <w:rPr>
          <w:rFonts w:hint="eastAsia"/>
          <w:lang w:val="en-US" w:eastAsia="zh-CN"/>
        </w:rPr>
        <w:t>17.A</w:t>
      </w:r>
    </w:p>
    <w:p w14:paraId="57DCE69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09AF1A2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①猎豹主要分布在非洲一带，常栖息在温带、热带的茂林植被地区和稀疏树木的大草原，属于食肉动物。②黑犀分布在非洲东部和中部、南部的小范围地区，栖息在丛林地带，以树叶为食。③长颈鹿主要分布在非洲的南非、埃塞俄比亚、苏丹、肯尼亚、坦桑尼亚和赞比亚等国，生活于非洲稀树草原地带，是草食动物。三者都分布于非洲，处于同一生境。</w:t>
      </w:r>
    </w:p>
    <w:p w14:paraId="769B7D2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①缺苞箭竹主要分布于四川北部和甘肃南部，位于海拔1800至3400米针阔混交林和亚高山针叶林灌木层中。②沙狐是国家二级重点保护野生动物，主要栖息于草原、荒漠和半荒漠地带，喜食啮齿类动物、昆虫、鸟类等。③龙眼对生产环境比较挑剔，世界上能种植龙眼的地方有限，一般在亚热带、气候偏温和、无严重霜冻的地区栽培龙眼为合适。故三者不在同一生境。</w:t>
      </w:r>
    </w:p>
    <w:p w14:paraId="7F68D2C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①褐马鸡是中国鸟类特有种，其野生种群主要分布于山西、陕西、河北、北京等地，其中吕梁山地区为核心分布区。②华南虎是典型的山地林栖动物，主要分布在中国南部，包括云南、广西、福建、广东等省份的山区和森林中。③金丝猴有缅甸金丝猴（怒江金丝猴）、川金丝猴、滇金丝猴、黔金丝猴、越南金丝猴5种类，金丝猴群栖高山密林中，栖息地海拔很高，分布范围包括中国四川、陕西、甘肃、湖北、贵州、云南、西藏，越南北部及缅甸北部。故三者不在同一生境。</w:t>
      </w:r>
    </w:p>
    <w:p w14:paraId="529DC82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①苏门答腊猩猩栖息于热带雨林，分布于印尼苏门答腊岛。②紫貂是生活在亚寒带针叶林或针阔混交林中的代表兽类之一，中国是全球紫貂分布的最南端，主要分布区域有大小兴安岭、松花江流域林区、完达山以及黑龙江、乌苏里江流域、长白山区，西北的新疆阿尔泰也有分布。③苜蓿原产于亚洲西部，主要分布于中国黄河中下游及西北地区，在西北、华北、东北、华东面积分布较大，甘孜州中、北部有分布，偶有小片群落。故三者不在同一生境。</w:t>
      </w:r>
    </w:p>
    <w:p w14:paraId="6E5705A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0A107D94">
      <w:pPr>
        <w:rPr>
          <w:rFonts w:hint="default"/>
          <w:lang w:val="en-US" w:eastAsia="zh-CN"/>
        </w:rPr>
      </w:pPr>
    </w:p>
    <w:p w14:paraId="79DD3266">
      <w:pPr>
        <w:rPr>
          <w:rFonts w:hint="eastAsia"/>
          <w:lang w:val="en-US" w:eastAsia="zh-CN"/>
        </w:rPr>
      </w:pPr>
      <w:r>
        <w:rPr>
          <w:rFonts w:hint="eastAsia"/>
          <w:lang w:val="en-US" w:eastAsia="zh-CN"/>
        </w:rPr>
        <w:t>18.C</w:t>
      </w:r>
    </w:p>
    <w:p w14:paraId="5569CDC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3F41FBE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循环系统的主要作用是将含有氧气和营养物质的血液带到全身各个组织维持正常的生命活动。消化系统的主要功能包括摄取、转运、消化食物和吸收营养，以及排泄废物。所以A项“摄取、转运、消化食物”对应的是消化系统。‌</w:t>
      </w:r>
    </w:p>
    <w:p w14:paraId="11D46B5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内分泌系统通过分泌激素实现生理功能，主要起到调节机体的新陈代谢过程，调节细胞外液的量、组成成分，保持机体的内环境的动态平衡，调节机体的生长、发育和生殖功能。生殖系统的主要功能是产生生殖细胞、分泌性激素，维持第二性征及繁殖后代。所以B项“产生生殖细胞、分泌性激素”对应的是生殖系统的功能。</w:t>
      </w:r>
    </w:p>
    <w:p w14:paraId="410A116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C项正确，运动系统由骨、关节和肌肉组成，约占成人体重的60%。全身各骨借关节相连形成骨骼，起支持体重、保护内脏和维持人体基本形态的作用。前后对应正确。</w:t>
      </w:r>
    </w:p>
    <w:p w14:paraId="06B2FE3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生殖系统是生物体内的和生殖密切相关的器官成分的总称。生殖系统的主要功能是产生生殖细胞、分泌性激素，维持第二性征及繁殖后代。内分泌系统对整个机体的生长、发育、代谢和生殖起着调节作用。所以D项“对生长、发育、代谢和生殖起调节作用”对应的是内分泌系统的功能。</w:t>
      </w:r>
    </w:p>
    <w:p w14:paraId="3732BB5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E9EF6F9">
      <w:pPr>
        <w:rPr>
          <w:rFonts w:hint="default"/>
          <w:lang w:val="en-US" w:eastAsia="zh-CN"/>
        </w:rPr>
      </w:pPr>
    </w:p>
    <w:p w14:paraId="07419537">
      <w:pPr>
        <w:rPr>
          <w:rFonts w:hint="eastAsia"/>
          <w:lang w:val="en-US" w:eastAsia="zh-CN"/>
        </w:rPr>
      </w:pPr>
      <w:r>
        <w:rPr>
          <w:rFonts w:hint="eastAsia"/>
          <w:lang w:val="en-US" w:eastAsia="zh-CN"/>
        </w:rPr>
        <w:t>19.B</w:t>
      </w:r>
    </w:p>
    <w:p w14:paraId="44742F4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本题考查生活常识。</w:t>
      </w:r>
    </w:p>
    <w:p w14:paraId="4868D52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呼吸机是一种至关重要的医疗设备，能够起到预防和治疗呼吸衰竭，减少并发症，挽救及延长病人生命的作用。呼吸机普遍用于各种原因所致的呼吸衰竭、大手术期间的麻醉呼吸管理、呼吸支持治疗和急救复苏中。</w:t>
      </w:r>
    </w:p>
    <w:p w14:paraId="2761DCE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B项错误，AED是自动体外除颤器（Automated External Defibrillator）的英文缩写，它可以自动分析患者心律，识别是否为可除颤心律，被誉为心搏骤停患者的“救命神器”。AED技术最初主要用于专业医疗人员使用。随着技术的进步和普及，非专业急救人员经过培训后也可以安全使用，大大提高了急救的及时性和有效性。并非仅限医护人员操作使用。</w:t>
      </w:r>
    </w:p>
    <w:p w14:paraId="582C540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心电监护仪是医院实用的精密医学仪器。心电监护是通过显示屏连续观察监测心脏电活动情况的一种无创的监测方法，可适时观察病情，提供可靠的有价值的心电活动指标，并指导实时处理。心电监护仪具有心电信息的采集、存储、智能分析预警等功能。</w:t>
      </w:r>
    </w:p>
    <w:p w14:paraId="7E8F8EC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简易呼吸器用于无自主呼吸或呼吸弱且不规则、严重通气不良的患者辅助呼吸。简易呼吸器可以分为一次性和可重复使用两种。一次性简易呼吸器通常由医用聚丙烯材料制成，仅可使用一次。而可重复使用的简易呼吸器则通常由硅胶等材料制成，并可进行消毒清洗后多次使用。</w:t>
      </w:r>
    </w:p>
    <w:p w14:paraId="7E70EE5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47E5081B">
      <w:pPr>
        <w:rPr>
          <w:rFonts w:hint="default"/>
          <w:lang w:val="en-US" w:eastAsia="zh-CN"/>
        </w:rPr>
      </w:pPr>
    </w:p>
    <w:p w14:paraId="46F9EE40">
      <w:pPr>
        <w:rPr>
          <w:rFonts w:hint="eastAsia"/>
          <w:lang w:val="en-US" w:eastAsia="zh-CN"/>
        </w:rPr>
      </w:pPr>
      <w:r>
        <w:rPr>
          <w:rFonts w:hint="eastAsia"/>
          <w:lang w:val="en-US" w:eastAsia="zh-CN"/>
        </w:rPr>
        <w:t>20.D</w:t>
      </w:r>
    </w:p>
    <w:p w14:paraId="677E72B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五带即热带、南温带、北温带、南寒带、北寒带，形成原因在于地球公转，即地球按一定轨道围绕太阳转动。地球公转带来了正午太阳高度的变化、昼夜长短的变化、四季的更替、五带的划分。因此，是地球公转造成了五带的划分，不是地球自转。</w:t>
      </w:r>
    </w:p>
    <w:p w14:paraId="5B58DC6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当月球运行到太阳和地球之间，并且三者几乎在一条直线上时，月球会挡住太阳射向地球的光，导致地球上部分地区的人们看不到太阳或只能看到太阳的一部分，从而形成日食现象‌。日食必然发生在农历初一。因为在农历初一，月球会运行到地球和太阳之间。也只有在这样的日子，地、月、日才有可能呈一条直线排列，使月球挡住太阳，形成日食。因此，日食只会发生在农历初一，而不是农历十五前后。</w:t>
      </w:r>
    </w:p>
    <w:p w14:paraId="53C6CAE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在太阳系的八大行星中，金星是从太阳向外的第二颗行星，金星的自转周期为243天，是太阳系自转最慢的行星。而木星是从太阳向外的第五颗行星，其自转周期约为9小时50分30秒，是太阳系内自转最快的行星。因此，太阳系自转最慢的行星是金星，而不是木星。</w:t>
      </w:r>
    </w:p>
    <w:p w14:paraId="5567CC4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D项正确，黑子出现在太阳大气层的光球层上，表现为暗黑的斑点，通常成群出现，活动周期约为11年‌。耀斑则发生在太阳的色球层上，表现为局部区域的突然增亮。因此，黑子和耀斑是太阳活动的主要标志。</w:t>
      </w:r>
    </w:p>
    <w:p w14:paraId="633CE3E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A3204F5">
      <w:pPr>
        <w:rPr>
          <w:rFonts w:hint="default"/>
          <w:lang w:val="en-US" w:eastAsia="zh-CN"/>
        </w:rPr>
      </w:pPr>
    </w:p>
    <w:p w14:paraId="6DC416E2">
      <w:pPr>
        <w:rPr>
          <w:rFonts w:hint="eastAsia"/>
          <w:lang w:val="en-US" w:eastAsia="zh-CN"/>
        </w:rPr>
      </w:pPr>
      <w:r>
        <w:rPr>
          <w:rFonts w:hint="eastAsia"/>
          <w:lang w:val="en-US" w:eastAsia="zh-CN"/>
        </w:rPr>
        <w:t>21.C</w:t>
      </w:r>
    </w:p>
    <w:p w14:paraId="0D0AE0E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搭配“大跨越改革”，且根据“不会”可知，横线处和前文“稳健”构成反义并列，应体现出这种改革是激进的、不稳定的，可能导致负面后果。C项“一步到位”指一次就达到预定的目标，符合文意，置于此处可表示激进的、不渐进的改革，当选。</w:t>
      </w:r>
    </w:p>
    <w:p w14:paraId="15AE799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华而不实”指只开花不结果，比喻外表好看，内容空虚，B项“舍近求远”指舍弃近的寻找远的，比喻做事走弯路或方法不对头，D项“面目全非”指事物的样子改变得很厉害，多含贬义，均无法与“稳健”构成反义并列，不符合文意，排除。</w:t>
      </w:r>
    </w:p>
    <w:p w14:paraId="02F6413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164B40F2">
      <w:pPr>
        <w:rPr>
          <w:rFonts w:hint="default"/>
          <w:lang w:val="en-US" w:eastAsia="zh-CN"/>
        </w:rPr>
      </w:pPr>
    </w:p>
    <w:p w14:paraId="44645063">
      <w:pPr>
        <w:rPr>
          <w:rFonts w:hint="eastAsia"/>
          <w:lang w:val="en-US" w:eastAsia="zh-CN"/>
        </w:rPr>
      </w:pPr>
      <w:r>
        <w:rPr>
          <w:rFonts w:hint="eastAsia"/>
          <w:lang w:val="en-US" w:eastAsia="zh-CN"/>
        </w:rPr>
        <w:t>22.C</w:t>
      </w:r>
    </w:p>
    <w:p w14:paraId="659C8A3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可从第二空入手，空处词语需搭配“深度空间”，体现新型教育方式的积极意义。C项“拓展”指开拓，扩展，与“空间”搭配恰当，表示通过新的教育方式拓展学生的学习深度和广度，保留。A项“改善”指使得原有状况变得更好，B项“挖掘”指向下挖以发掘，D项“延伸”指延长，多侧重线性的延长扩大，均与“空间”搭配不当，排除。</w:t>
      </w:r>
    </w:p>
    <w:p w14:paraId="17A799D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第一空代入验证，“灵活的方式获取前沿知识”搭配得当，且可与前文“不再是标准化课堂情景下的专属物”构成反义并列的对应，当选。</w:t>
      </w:r>
    </w:p>
    <w:p w14:paraId="4398288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8B506CF">
      <w:pPr>
        <w:rPr>
          <w:rFonts w:hint="default"/>
          <w:lang w:val="en-US" w:eastAsia="zh-CN"/>
        </w:rPr>
      </w:pPr>
    </w:p>
    <w:p w14:paraId="761747C0">
      <w:pPr>
        <w:rPr>
          <w:rFonts w:hint="eastAsia"/>
          <w:lang w:val="en-US" w:eastAsia="zh-CN"/>
        </w:rPr>
      </w:pPr>
      <w:r>
        <w:rPr>
          <w:rFonts w:hint="eastAsia"/>
          <w:lang w:val="en-US" w:eastAsia="zh-CN"/>
        </w:rPr>
        <w:t>23.D</w:t>
      </w:r>
    </w:p>
    <w:p w14:paraId="0FB156D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搭配“尝试”，且根据后文“对万千数据的抽丝剥茧得来的”可知，此处应体现科学家们在科学研究过程中细心、长久的努力。A项“积极”强调努力进取，D项“不懈”指不倦的或不知疲倦的,二者符合文意，均保留。B项“偶然”指突然的，不是经常的，与科学发现的系统性、规律性不符，排除；C项“大胆”指敢于面对、承担某事，和文意无关，排除。</w:t>
      </w:r>
    </w:p>
    <w:p w14:paraId="71A5405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文意可知，“太阳台风”刚出现时并未引人注意，直到2014年才被捕捉到其踪迹。D项“敏锐”侧重反应灵敏，置于此处能够体现出科学家们对该新事物的洞察力之强，符合语境，当选。A项“直接”指不通过中间事物，文段所述的捕捉到“太空台风”的踪迹并非直接结果，而是经过一定观察和分析的，排除。</w:t>
      </w:r>
    </w:p>
    <w:p w14:paraId="68E4B8C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0A2209B">
      <w:pPr>
        <w:rPr>
          <w:rFonts w:hint="default"/>
          <w:lang w:val="en-US" w:eastAsia="zh-CN"/>
        </w:rPr>
      </w:pPr>
    </w:p>
    <w:p w14:paraId="4434CC3F">
      <w:pPr>
        <w:rPr>
          <w:rFonts w:hint="eastAsia"/>
          <w:lang w:val="en-US" w:eastAsia="zh-CN"/>
        </w:rPr>
      </w:pPr>
      <w:r>
        <w:rPr>
          <w:rFonts w:hint="eastAsia"/>
          <w:lang w:val="en-US" w:eastAsia="zh-CN"/>
        </w:rPr>
        <w:t>24.A</w:t>
      </w:r>
    </w:p>
    <w:p w14:paraId="5E45C4C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可从第二空入手，根据“因此”可知，横线前后需要满足因果逻辑。故横线处要和“各地具体情况不同，相关资源各异”对应。A项“因地制宜”指根据各地的具体情况，制定适宜的办法，符合文意，当选。B项“扬长避短”指发扬长处，回避短处，C项“脚踏实地”比喻做事踏实、认真，两项均与文意无关，排除。D项“实事求是”指按照事物的实际情况办事，A项更能突出各地区间的差异，契合主题，对比择优，D项排除。</w:t>
      </w:r>
    </w:p>
    <w:p w14:paraId="74FBB81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第一空，代入验证。“顺应新时代发展要求”搭配得当。</w:t>
      </w:r>
    </w:p>
    <w:p w14:paraId="72F2E16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8FE9A38">
      <w:pPr>
        <w:rPr>
          <w:rFonts w:hint="default"/>
          <w:lang w:val="en-US" w:eastAsia="zh-CN"/>
        </w:rPr>
      </w:pPr>
    </w:p>
    <w:p w14:paraId="14809933">
      <w:pPr>
        <w:rPr>
          <w:rFonts w:hint="eastAsia"/>
          <w:lang w:val="en-US" w:eastAsia="zh-CN"/>
        </w:rPr>
      </w:pPr>
      <w:r>
        <w:rPr>
          <w:rFonts w:hint="eastAsia"/>
          <w:lang w:val="en-US" w:eastAsia="zh-CN"/>
        </w:rPr>
        <w:t>25.C</w:t>
      </w:r>
    </w:p>
    <w:p w14:paraId="4A1CFFF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从第二空入手。根据文段内容可知，横线处需体现“连接的精确性”对于人的生存很重要。C项“至关重要”指相当地重要，符合语境，当选。A项“毋庸置疑”指事实明显或理由充分，根本就没有怀疑的余地。文段并未体现“怀疑”，排除；B项“息息相关”指彼此呼吸都相互关联，形容关系非常密切。文段并未体现“相互关联”，排除；D项“可圈可点”指表现好，值得肯定或赞扬。与文意无关，排除。</w:t>
      </w:r>
    </w:p>
    <w:p w14:paraId="230A844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第一空代入验证，横线处体现“通信网络”与“行为”之间的关系，C项“指挥”指法令调度。填入文段能够体现“通信网络”对于“行为”的引导作用，符合文意，当选。</w:t>
      </w:r>
    </w:p>
    <w:p w14:paraId="74B6209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61EBA68D">
      <w:pPr>
        <w:rPr>
          <w:rFonts w:hint="default"/>
          <w:lang w:val="en-US" w:eastAsia="zh-CN"/>
        </w:rPr>
      </w:pPr>
    </w:p>
    <w:p w14:paraId="6887DE7E">
      <w:pPr>
        <w:rPr>
          <w:rFonts w:hint="eastAsia"/>
          <w:lang w:val="en-US" w:eastAsia="zh-CN"/>
        </w:rPr>
      </w:pPr>
      <w:r>
        <w:rPr>
          <w:rFonts w:hint="eastAsia"/>
          <w:lang w:val="en-US" w:eastAsia="zh-CN"/>
        </w:rPr>
        <w:t>26.C</w:t>
      </w:r>
    </w:p>
    <w:p w14:paraId="1CD4230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文段“无论天资多高，如果没有‘退笔成冢’‘池水尽墨’，没有殚精竭虑、力耕砚田”可知，横线处应体现出书法家需要付出的努力和辛勤的汗水。A项“磨炼”意为通过实践或锻炼使技能提高，C项“辛劳”意为辛苦劳累，D项“积累”意为逐渐聚集，填入文段也可体现出长时间的练习之意，以上三项均符合文意，保留。B项“坎坷”意为道路不平，多比喻人生经历曲折，与文意无关，排除。</w:t>
      </w:r>
    </w:p>
    <w:p w14:paraId="0C6A912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横线处应体现出没有付出努力就想取得成就是不可能的，是一种不切实际的想法。C项“痴人说梦”比喻说根本办不到的荒唐话，符合文意，当选。A项“纸上谈兵”指在文字上谈用兵策略，比喻不联系实际情况，空发议论，不符合文意，排除；D项“缘木求鱼”比喻方向、方法错误，一定达不到目的，文段并未有“方法错误”之意，不符合文意，排除。</w:t>
      </w:r>
    </w:p>
    <w:p w14:paraId="4F5064D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189228A4">
      <w:pPr>
        <w:rPr>
          <w:rFonts w:hint="default"/>
          <w:lang w:val="en-US" w:eastAsia="zh-CN"/>
        </w:rPr>
      </w:pPr>
    </w:p>
    <w:p w14:paraId="1089DA53">
      <w:pPr>
        <w:rPr>
          <w:rFonts w:hint="eastAsia"/>
          <w:lang w:val="en-US" w:eastAsia="zh-CN"/>
        </w:rPr>
      </w:pPr>
      <w:r>
        <w:rPr>
          <w:rFonts w:hint="eastAsia"/>
          <w:lang w:val="en-US" w:eastAsia="zh-CN"/>
        </w:rPr>
        <w:t>27.A</w:t>
      </w:r>
    </w:p>
    <w:p w14:paraId="4FA0B73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文段“疏忽、偏见，甚至蓄意的伪造”可知文段强调科学研究过程的不严谨会导致科学结果的错漏。A项“谬误”指错误，差错；B项“失败”指没有达到预期的目的，两项均能体现出结果错漏失败，符合文意，保留。C项“倒退”指后退；D项“挫折”意为磨难、困难，均无法体现出结果错漏失败，不合文意，排除。</w:t>
      </w:r>
    </w:p>
    <w:p w14:paraId="07733F4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后文“正是得益于科学理论严密的逻辑性和科学界这种公正、谦虚和理性的态度”可知，横线处须体现科学探索的严谨性以及公正理性的态度。A项“去芜存菁”指去掉粗糙的部分，留取其精华，形容对事物分析筛拣的过程，能够体现出科学分析的严谨细密，符合文意，当选；B项“优胜劣汰”指生物在生存竞争中适应力强的保存下来，适应力差的被淘汰，不合文意且搭配不当，排除。</w:t>
      </w:r>
    </w:p>
    <w:p w14:paraId="61D9379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4082D0F8">
      <w:pPr>
        <w:rPr>
          <w:rFonts w:hint="default"/>
          <w:lang w:val="en-US" w:eastAsia="zh-CN"/>
        </w:rPr>
      </w:pPr>
    </w:p>
    <w:p w14:paraId="2F972789">
      <w:pPr>
        <w:rPr>
          <w:rFonts w:hint="eastAsia"/>
          <w:lang w:val="en-US" w:eastAsia="zh-CN"/>
        </w:rPr>
      </w:pPr>
      <w:r>
        <w:rPr>
          <w:rFonts w:hint="eastAsia"/>
          <w:lang w:val="en-US" w:eastAsia="zh-CN"/>
        </w:rPr>
        <w:t>28.D</w:t>
      </w:r>
    </w:p>
    <w:p w14:paraId="2DDF4A3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可从第二空入手，将互联网上每天的新闻比作“富矿”，故横线处应体现资源丰富，挖不完的含义。D项“取之不尽”取也取不完，取用不尽，符合文意，保留。A项“源源不断”形容接连不断，可形容多，但文段并非讲“富矿”的数量多，而是挖不完的特点，排除。B项“唾手可得”比喻不用费力，很容易就可得到，与文意无关，排除。C项“信手拈来”多指写文章时能自由纯熟的选用词语或应用典故，用不着怎么思考，与文意无关，排除。</w:t>
      </w:r>
    </w:p>
    <w:p w14:paraId="54504C1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第一空代入验证，“格局”意为对事物的认知程度和范围，符合文意，当选。</w:t>
      </w:r>
    </w:p>
    <w:p w14:paraId="0097E88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6DE6C97">
      <w:pPr>
        <w:rPr>
          <w:rFonts w:hint="default"/>
          <w:lang w:val="en-US" w:eastAsia="zh-CN"/>
        </w:rPr>
      </w:pPr>
    </w:p>
    <w:p w14:paraId="58213FC7">
      <w:pPr>
        <w:rPr>
          <w:rFonts w:hint="eastAsia"/>
          <w:lang w:val="en-US" w:eastAsia="zh-CN"/>
        </w:rPr>
      </w:pPr>
      <w:r>
        <w:rPr>
          <w:rFonts w:hint="eastAsia"/>
          <w:lang w:val="en-US" w:eastAsia="zh-CN"/>
        </w:rPr>
        <w:t>29.B</w:t>
      </w:r>
    </w:p>
    <w:p w14:paraId="621DC0E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后文出现解释性语句，故所填词语应体现假冒伪劣商品难以溯源之意。B项“来路不明”指来历未验明，符合文意，保留。A项“真伪难辨”侧重强调难以辨析真假，题干中强调的是难以找到责任主体，而非商品的真假难以分辨，排除。C项“鱼龙混杂”指好人和坏人混在一起，侧重强调好坏，D项“遁名匿迹”指隐姓埋名，避开世俗，均无法体现溯源之难，排除。</w:t>
      </w:r>
    </w:p>
    <w:p w14:paraId="755AB3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第二空代入验证，B项“约束”意味着限制、管束，使不超越范围，溯源机制通过建立明确的责任体系，可以对全链条的规范运营起到有效的约束作用，符合文意，当选。</w:t>
      </w:r>
    </w:p>
    <w:p w14:paraId="3CC8812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07AD7E27">
      <w:pPr>
        <w:rPr>
          <w:rFonts w:hint="default"/>
          <w:lang w:val="en-US" w:eastAsia="zh-CN"/>
        </w:rPr>
      </w:pPr>
    </w:p>
    <w:p w14:paraId="3DF3633F">
      <w:pPr>
        <w:rPr>
          <w:rFonts w:hint="eastAsia"/>
          <w:lang w:val="en-US" w:eastAsia="zh-CN"/>
        </w:rPr>
      </w:pPr>
      <w:r>
        <w:rPr>
          <w:rFonts w:hint="eastAsia"/>
          <w:lang w:val="en-US" w:eastAsia="zh-CN"/>
        </w:rPr>
        <w:t>30.D</w:t>
      </w:r>
    </w:p>
    <w:p w14:paraId="423182C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可从第二空入手。根据“也不是明确的正误可判断的”可知，辩论的语言含有多种解释空间，B项“模糊”、D项“丰富”均能体现辩论语言的特点，保留。A项“独特”表示与众不同，C项“主观”侧重于个人感受，均与文意无关，排除。</w:t>
      </w:r>
    </w:p>
    <w:p w14:paraId="419F316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应体现“现实世界的问题”的特点，且根据“很快人工智能也可以帮助人类理解复杂的论点了”可知，空处需体现现实世界问题的复杂性和多面性。B项“一言难尽”指用一句话难以说清楚，形容事情曲折复杂，虽然可以形容问题的复杂性，但更侧重于难以说清，与“辩论”的语境不符，排除；D项“模棱两可”指对问题或事物正反两方面，持既不肯定、也不否定的态度，体现出复杂之意，符合文意，当选。</w:t>
      </w:r>
    </w:p>
    <w:p w14:paraId="081ACDE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AD2501C">
      <w:pPr>
        <w:rPr>
          <w:rFonts w:hint="default"/>
          <w:lang w:val="en-US" w:eastAsia="zh-CN"/>
        </w:rPr>
      </w:pPr>
    </w:p>
    <w:p w14:paraId="7138C67A">
      <w:pPr>
        <w:rPr>
          <w:rFonts w:hint="eastAsia"/>
          <w:lang w:val="en-US" w:eastAsia="zh-CN"/>
        </w:rPr>
      </w:pPr>
      <w:r>
        <w:rPr>
          <w:rFonts w:hint="eastAsia"/>
          <w:lang w:val="en-US" w:eastAsia="zh-CN"/>
        </w:rPr>
        <w:t>31.B</w:t>
      </w:r>
    </w:p>
    <w:p w14:paraId="2F8006E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前文“共同性矛盾”可知，横线处表达人类需求与地球供应能力之间存在“供不应求”的状况，A项“平衡”指对立的方面保持相等或相抵，B项“匹配”指搭配适宜，C项“相称”指相当、匹配，三项均符合文意，保留。D项“适宜”指合适，相宜，与文意不符，排除。</w:t>
      </w:r>
    </w:p>
    <w:p w14:paraId="5740974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后文“有机融合与强化”“努力······人类社会与环境相协调”可知，横线处与之对应，表达让二者协调之意，B项“折中”指对不同的意见进行调和，符合文意，当选。A项“变通”指依据不同情况，作非原则性的变动，C项“公平”指处理事情合情合理，不偏不倚，侧重强调合乎情理，均与文意不符，排除。</w:t>
      </w:r>
    </w:p>
    <w:p w14:paraId="0D1A33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第三空代入验证，B项“谋求”指力求得到，或寻找，置于此处体现力求实现人类社会与环境协调发展的目标。</w:t>
      </w:r>
    </w:p>
    <w:p w14:paraId="48AE1F2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F762740">
      <w:pPr>
        <w:rPr>
          <w:rFonts w:hint="default"/>
          <w:lang w:val="en-US" w:eastAsia="zh-CN"/>
        </w:rPr>
      </w:pPr>
    </w:p>
    <w:p w14:paraId="5F7DD1D8">
      <w:pPr>
        <w:rPr>
          <w:rFonts w:hint="eastAsia"/>
          <w:lang w:val="en-US" w:eastAsia="zh-CN"/>
        </w:rPr>
      </w:pPr>
      <w:r>
        <w:rPr>
          <w:rFonts w:hint="eastAsia"/>
          <w:lang w:val="en-US" w:eastAsia="zh-CN"/>
        </w:rPr>
        <w:t>32.B</w:t>
      </w:r>
    </w:p>
    <w:p w14:paraId="6248C72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与“传统戏曲剧目”搭配，A项“编排”指编剧并排演，B项“演绎”指铺陈发挥，展现，D项“呈现”指露出，显现出来，均搭配得当，保留。C项“梳理”比喻对事物进行归类、分析，与文意不符，排除。</w:t>
      </w:r>
    </w:p>
    <w:p w14:paraId="705920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前后文“死死守住戏曲艺术遗产”“以博物馆方式进行保护”可知，横线处表达“一招一式”不允许改变，B项“走样”指失去原来的样子，D项“突破”指打开缺口、超过、打破，均符合文意，保留。A项“脱节”指应该联系的事物没有联系起来，侧重无法衔接，与文意不符，排除。</w:t>
      </w:r>
    </w:p>
    <w:p w14:paraId="6AB393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横线处需与主语“戏曲艺术”和宾语“时代精神和现代审美需求”均搭配得当，B项“契合”指十分符合，也指投合、意气相投，侧重形容抽象事物间密切符合，置于此处能体现出戏曲艺术与时代精神、现代审美需求的紧密联系，符合文意，当选。D项“切合”均指十分符合，多用与具体事物与某种要求和需要相符，与“戏曲艺术”搭配不当，排除D项。</w:t>
      </w:r>
    </w:p>
    <w:p w14:paraId="23F6EB2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6E8D0DE">
      <w:pPr>
        <w:rPr>
          <w:rFonts w:hint="default"/>
          <w:lang w:val="en-US" w:eastAsia="zh-CN"/>
        </w:rPr>
      </w:pPr>
    </w:p>
    <w:p w14:paraId="01E69B2C">
      <w:pPr>
        <w:rPr>
          <w:rFonts w:hint="eastAsia"/>
          <w:lang w:val="en-US" w:eastAsia="zh-CN"/>
        </w:rPr>
      </w:pPr>
      <w:r>
        <w:rPr>
          <w:rFonts w:hint="eastAsia"/>
          <w:lang w:val="en-US" w:eastAsia="zh-CN"/>
        </w:rPr>
        <w:t>33.A</w:t>
      </w:r>
    </w:p>
    <w:p w14:paraId="6ECBEFC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可从第三空入手。设空处与前后文“脸谱化”“标签化”构成三并列关系，“脸谱化”指文艺创作中刻画人物的公式化倾向，“标签化”指将某人或某物定型化或者归入某一类，故两个实词均体现将人物的性格和特征被简单地归类和描绘，使得人物形象显得单一和刻板之意，故设空处也应语义相近。A项“模式化”指将事物或行为归纳为一定的模式或固定的形式，使其呈现出规律性和重复性，符合文意，当选。B项“表面化”指只关注事物的外在或表面特征，而不深入到事物的本质或内涵，缺乏深度和实质内容，C项“简单化”指将复杂的事物或问题简化处理，使之更加容易理解或操作，D项“概念化”指的是将具体的事物或现象抽象为概念或思想的过程，强调只看到抽象的概念而忽略实际情况，均不合文意，无法构成三并列逻辑，排除。</w:t>
      </w:r>
    </w:p>
    <w:p w14:paraId="7A3C76C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代入验证第一、二空。由于微短剧的时间非常有限，每一集只有一分钟，所以人物形象、心路历程的展现均不全面、不深刻。“饱满”指丰满、充足，“完整”指没有损坏或残缺，均符合文意。</w:t>
      </w:r>
    </w:p>
    <w:p w14:paraId="4F259B3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23D041F4">
      <w:pPr>
        <w:rPr>
          <w:rFonts w:hint="default"/>
          <w:lang w:val="en-US" w:eastAsia="zh-CN"/>
        </w:rPr>
      </w:pPr>
    </w:p>
    <w:p w14:paraId="5E5EB910">
      <w:pPr>
        <w:rPr>
          <w:rFonts w:hint="eastAsia"/>
          <w:lang w:val="en-US" w:eastAsia="zh-CN"/>
        </w:rPr>
      </w:pPr>
      <w:r>
        <w:rPr>
          <w:rFonts w:hint="eastAsia"/>
          <w:lang w:val="en-US" w:eastAsia="zh-CN"/>
        </w:rPr>
        <w:t>34.D</w:t>
      </w:r>
    </w:p>
    <w:p w14:paraId="29E274A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乌达煤田中20多层煤炭与岩石交替叠加，就像一本地质教科书”可知，横线处考查形象化表达，应体现“教科书”的作用。B项“全面”、D项“直观”均符合文意，保留；A项“深入”侧重内容深刻，C项“生动”侧重有活力，两项均与“教科书”的功能无关，排除。</w:t>
      </w:r>
    </w:p>
    <w:p w14:paraId="36B1F96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第二空，横线处搭配“植物”，B项“融合”指几种不同的事物合成一体，与“植物”搭配不当，排除；D项“堆积”指事物成堆地聚集，搭配恰当，符合文意，当选。</w:t>
      </w:r>
    </w:p>
    <w:p w14:paraId="64B552B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第三空代入验证，根据前文可知，横线处需体现“植物”一轮接一轮萌发生长。D项“生生不息”指不断地生长、繁殖。符合文意，当选。</w:t>
      </w:r>
    </w:p>
    <w:p w14:paraId="75DC4A5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338EAAE">
      <w:pPr>
        <w:rPr>
          <w:rFonts w:hint="default"/>
          <w:lang w:val="en-US" w:eastAsia="zh-CN"/>
        </w:rPr>
      </w:pPr>
    </w:p>
    <w:p w14:paraId="4C6476A0">
      <w:pPr>
        <w:rPr>
          <w:rFonts w:hint="eastAsia"/>
          <w:lang w:val="en-US" w:eastAsia="zh-CN"/>
        </w:rPr>
      </w:pPr>
      <w:r>
        <w:rPr>
          <w:rFonts w:hint="eastAsia"/>
          <w:lang w:val="en-US" w:eastAsia="zh-CN"/>
        </w:rPr>
        <w:t>35.A</w:t>
      </w:r>
    </w:p>
    <w:p w14:paraId="4B096B4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主要描绘了项羽走投无路时的言行和心理，而对于他如何落败，只有三言两句的交代”可知，书中记载的内容并不全面。A项“详细”指仔细、完备，D项“准确”指与实际或预期完全符合。两项均符合文意，保留。B项“具体”指不抽象，不笼统。与文意无关，排除；C项“清晰”指看得很清楚，很逼真。与文意无关，排除。</w:t>
      </w:r>
    </w:p>
    <w:p w14:paraId="5DE2A0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后文“于是后世诞生了这段一系列相关的戏曲”可知，书中记载的内容不能满足读者想了解这段历史的好奇心。A项“想象”指对未感知的事物想出它的具体形象或发展结果，符合文意，当选；D项“向往”指因热爱、羡慕某种事物或境界而希望得到或到达。与文意无关，排除。</w:t>
      </w:r>
    </w:p>
    <w:p w14:paraId="736C478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第三空代入验证，横线处搭配“戏剧与历史事件”的关系。A项“绘声绘色”指以可见或可理解的形式来描绘或概括。符合文意，当选。</w:t>
      </w:r>
    </w:p>
    <w:p w14:paraId="2564C4B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0F4EDC68">
      <w:pPr>
        <w:rPr>
          <w:rFonts w:hint="default"/>
          <w:lang w:val="en-US" w:eastAsia="zh-CN"/>
        </w:rPr>
      </w:pPr>
    </w:p>
    <w:p w14:paraId="7BC6EA1C">
      <w:pPr>
        <w:rPr>
          <w:rFonts w:hint="eastAsia"/>
          <w:lang w:val="en-US" w:eastAsia="zh-CN"/>
        </w:rPr>
      </w:pPr>
      <w:r>
        <w:rPr>
          <w:rFonts w:hint="eastAsia"/>
          <w:lang w:val="en-US" w:eastAsia="zh-CN"/>
        </w:rPr>
        <w:t>36.C</w:t>
      </w:r>
    </w:p>
    <w:p w14:paraId="51F60F7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指出数字化转型激发了数字技术的业务需求和数字化设施建设的人才需求，包括软件开发，数据分析、云计算等。并由此衍生出与数字化转型有关的职业培训和咨询服务岗位，最后指出随着居民对教育、医疗等消费需求的上升，数字化转型将衍生出一系列个性化的人工服务型岗位。故文段为并列结构，意在强调数字化转型创造了多种多样的新型就业岗位，对应C项。</w:t>
      </w:r>
    </w:p>
    <w:p w14:paraId="28690C6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A项，“事关我国稳就业大局”无中生有，且无主题词“数字化转型”，与文意不符，排除；</w:t>
      </w:r>
    </w:p>
    <w:p w14:paraId="62DEC55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B项，“就业结构正处于调整期”无中生有，且无主题词“数字化转型”，与文意不符，排除；</w:t>
      </w:r>
    </w:p>
    <w:p w14:paraId="6862306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D项，“并未对传统岗位带来明显冲击”无中生有，且无主题词“数字化转型”，与文意不符，排除。</w:t>
      </w:r>
    </w:p>
    <w:p w14:paraId="145DBFD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7EBDA37">
      <w:pPr>
        <w:rPr>
          <w:rFonts w:hint="default"/>
          <w:lang w:val="en-US" w:eastAsia="zh-CN"/>
        </w:rPr>
      </w:pPr>
    </w:p>
    <w:p w14:paraId="30437312">
      <w:pPr>
        <w:rPr>
          <w:rFonts w:hint="eastAsia"/>
          <w:lang w:val="en-US" w:eastAsia="zh-CN"/>
        </w:rPr>
      </w:pPr>
      <w:r>
        <w:rPr>
          <w:rFonts w:hint="eastAsia"/>
          <w:lang w:val="en-US" w:eastAsia="zh-CN"/>
        </w:rPr>
        <w:t>37.D</w:t>
      </w:r>
    </w:p>
    <w:p w14:paraId="7E5E60D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引出经学文本的歧异问题汉代就已备受瞩目，并通过转折词“但”强调直至宋代，才出现文学文本歧异的考辨。随后详细列举例证并指出随着流行风尚及欣赏观念的转变，文学文本的歧义受到关注。最后通过“可以说”总结前文，强调宋代是“发现文学文本歧异”的时代。故文段为分总结构，重点在于尾句总结，强调宋代在文学文本歧异的价值，对应D项。</w:t>
      </w:r>
    </w:p>
    <w:p w14:paraId="6BFD3F7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A项，“出现讹误的原因”文段未提及，属于无中生有，排除；</w:t>
      </w:r>
    </w:p>
    <w:p w14:paraId="3796120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B项，“宋代金石学”对应“比如金石学开山鼻性欧阳修”，属于例子非重点，排除；</w:t>
      </w:r>
    </w:p>
    <w:p w14:paraId="43A8CC6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C项，“发展历程”对应“可以说”之前，属于分述句非重点，排除。</w:t>
      </w:r>
    </w:p>
    <w:p w14:paraId="7F1DE24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EE4521E">
      <w:pPr>
        <w:rPr>
          <w:rFonts w:hint="default"/>
          <w:lang w:val="en-US" w:eastAsia="zh-CN"/>
        </w:rPr>
      </w:pPr>
    </w:p>
    <w:p w14:paraId="195F0888">
      <w:pPr>
        <w:rPr>
          <w:rFonts w:hint="eastAsia"/>
          <w:lang w:val="en-US" w:eastAsia="zh-CN"/>
        </w:rPr>
      </w:pPr>
      <w:r>
        <w:rPr>
          <w:rFonts w:hint="eastAsia"/>
          <w:lang w:val="en-US" w:eastAsia="zh-CN"/>
        </w:rPr>
        <w:t>38.C</w:t>
      </w:r>
    </w:p>
    <w:p w14:paraId="67ACFC0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分别介绍了实验室里电子天平、实验室最高精度的电子天平、热天平的测量精度及测量范围，通过转折“但”指出，面对重仅3~4纳克的人体细胞热天平已无能为力，尾句介绍了英晶振微天平也几乎是人类检测限的天花板了，故文段强调了现有高精度测量仪器的局限性，故接下来应该介绍人类对测量精度的更高需求，对应C项。</w:t>
      </w:r>
    </w:p>
    <w:p w14:paraId="0A37445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A项，文段未提及“启用新的国际单位制”，脱离文段话题，无法与文段衔接，排除；</w:t>
      </w:r>
    </w:p>
    <w:p w14:paraId="250C1B5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B项，文段未提及“古代”，脱离文段话题，无法与文段衔接，排除；</w:t>
      </w:r>
    </w:p>
    <w:p w14:paraId="7501E7D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石英晶振微天平”虽是尾句的话题，但根据整体行文逻辑，前面介绍测量仪器时均未介绍制作原理，而是着重突出对精度的需求不断变高以及现有测量仪器的局限，故“制作原理”与整体行文逻辑不符，排除。</w:t>
      </w:r>
    </w:p>
    <w:p w14:paraId="37AA66B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A98EC6D">
      <w:pPr>
        <w:rPr>
          <w:rFonts w:hint="default"/>
          <w:lang w:val="en-US" w:eastAsia="zh-CN"/>
        </w:rPr>
      </w:pPr>
    </w:p>
    <w:p w14:paraId="5C0C5515">
      <w:pPr>
        <w:rPr>
          <w:rFonts w:hint="eastAsia"/>
          <w:lang w:val="en-US" w:eastAsia="zh-CN"/>
        </w:rPr>
      </w:pPr>
      <w:r>
        <w:rPr>
          <w:rFonts w:hint="eastAsia"/>
          <w:lang w:val="en-US" w:eastAsia="zh-CN"/>
        </w:rPr>
        <w:t>39.A</w:t>
      </w:r>
    </w:p>
    <w:p w14:paraId="5FB1BED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指出恐龙学的时间以百万年为单位，并通过“因此”强调恐龙为研究大尺度时间上的生物演变提供了重要素材。接着详细分析人类难以了解真正的生态系统的原因，并再次总结强调恐龙可帮助研究长期的生态系统。故文段为总分总结构，重点对应A项。</w:t>
      </w:r>
    </w:p>
    <w:p w14:paraId="2101A15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B项，“人类活动”属分述句原因解释，非重点，排除；</w:t>
      </w:r>
    </w:p>
    <w:p w14:paraId="5990EE0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C项，缺失主题词“恐龙”，排除；</w:t>
      </w:r>
    </w:p>
    <w:p w14:paraId="7D310B3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D项，“恐龙时代的特点”属背景非重点，排除。</w:t>
      </w:r>
    </w:p>
    <w:p w14:paraId="7F4D404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3C72EF7A">
      <w:pPr>
        <w:rPr>
          <w:rFonts w:hint="default"/>
          <w:lang w:val="en-US" w:eastAsia="zh-CN"/>
        </w:rPr>
      </w:pPr>
    </w:p>
    <w:p w14:paraId="1CECBB6D">
      <w:pPr>
        <w:rPr>
          <w:rFonts w:hint="eastAsia"/>
          <w:lang w:val="en-US" w:eastAsia="zh-CN"/>
        </w:rPr>
      </w:pPr>
      <w:r>
        <w:rPr>
          <w:rFonts w:hint="eastAsia"/>
          <w:lang w:val="en-US" w:eastAsia="zh-CN"/>
        </w:rPr>
        <w:t>40.B</w:t>
      </w:r>
    </w:p>
    <w:p w14:paraId="33EE7D8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A项，根据“小葵花凤头鹦鹉的体长还不到35厘米，是凤头鹦鹉属中体型最小的一种”可知，有些凤头鹦鹉体长不超过35厘米，与原文相符，排除。</w:t>
      </w:r>
    </w:p>
    <w:p w14:paraId="749BC18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B项，根据文段“小葵花凤头鹦鹉则分布在印度尼西亚······及东帝汶等地”可知，小葵花凤头鹦鹉主要分布在亚洲，而非大洋洲，表述与原文不符，当选。</w:t>
      </w:r>
    </w:p>
    <w:p w14:paraId="3E927CA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C项，根据“小葵花凤头鹦鹉分化出4~6个不同的亚种，其中分布于松巴岛的一个亚种最为特别，与其他亚种明黄色的冠羽不同”可知，大部分亚种的小葵花凤头鹦鹉生有明黄色的冠羽，与原文相符，排除。</w:t>
      </w:r>
    </w:p>
    <w:p w14:paraId="5F0CCC9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根据“由于岛屿之间被海洋隔离，小葵花凤头鹦鹉分化出4到6个不同的亚种，其中分布于松巴岛的一个亚种最为特别······常被称为‘橘冠凤头鹦鹉’”可知，橘冠凤头鹦鹉这一亚种因海洋隔离分化而来，即地理隔离，与原文相符，排除。</w:t>
      </w:r>
    </w:p>
    <w:p w14:paraId="7301267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375F25B6">
      <w:pPr>
        <w:rPr>
          <w:rFonts w:hint="default"/>
          <w:lang w:val="en-US" w:eastAsia="zh-CN"/>
        </w:rPr>
      </w:pPr>
    </w:p>
    <w:p w14:paraId="20331BAE">
      <w:pPr>
        <w:rPr>
          <w:rFonts w:hint="eastAsia"/>
          <w:lang w:val="en-US" w:eastAsia="zh-CN"/>
        </w:rPr>
      </w:pPr>
      <w:r>
        <w:rPr>
          <w:rFonts w:hint="eastAsia"/>
          <w:lang w:val="en-US" w:eastAsia="zh-CN"/>
        </w:rPr>
        <w:t>41.A</w:t>
      </w:r>
    </w:p>
    <w:p w14:paraId="335692F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指出良好的网络生态对青少年成长至关重要，接着指出《未成年人网络保护条例》在全国正式实施，之后强调这是我国首次对未成年人网络保护进行专门性综合立法，具有里程碑意义。最后指出《条例》不仅对未成年人网络保护做出顶层设计，而且从四个方面细化未成年人网络保护，积极回应现实中未成年人网络保护的重难点及争议问题，是新时代加强未成年人保护的重要一环。故文段为“分-总”的行文脉络，意在强调《条例》从立法的角度给未成年人网络保护带来的意义和价值，对应A项。</w:t>
      </w:r>
    </w:p>
    <w:p w14:paraId="5F4E354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B项，“创新发展治理路径”表述不明确，排除；</w:t>
      </w:r>
    </w:p>
    <w:p w14:paraId="5474152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C项，“主动研判风险”无中生有，且与《条例》无关，排除；</w:t>
      </w:r>
    </w:p>
    <w:p w14:paraId="3EB962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D项，“加强青少年网络自护能力”无中生有，且与《条例》无关，排除。</w:t>
      </w:r>
    </w:p>
    <w:p w14:paraId="0F2B2EE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09DF801E">
      <w:pPr>
        <w:rPr>
          <w:rFonts w:hint="default"/>
          <w:lang w:val="en-US" w:eastAsia="zh-CN"/>
        </w:rPr>
      </w:pPr>
    </w:p>
    <w:p w14:paraId="5B6D5958">
      <w:pPr>
        <w:rPr>
          <w:rFonts w:hint="eastAsia"/>
          <w:lang w:val="en-US" w:eastAsia="zh-CN"/>
        </w:rPr>
      </w:pPr>
      <w:r>
        <w:rPr>
          <w:rFonts w:hint="eastAsia"/>
          <w:lang w:val="en-US" w:eastAsia="zh-CN"/>
        </w:rPr>
        <w:t>42.B</w:t>
      </w:r>
    </w:p>
    <w:p w14:paraId="7CEA6FD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A项，文段阐述了芯吸效应是植物纤维所具有的性能，但并未表明是特有性能，该选项表述过于绝对，排除；</w:t>
      </w:r>
    </w:p>
    <w:p w14:paraId="606A388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B项，根据“由于这些导管极其细微，因此导管的内表面积与液体体积的比值也急剧上升，所以表面张力效应也变得显著”可知，该选项表述正确，当选；</w:t>
      </w:r>
    </w:p>
    <w:p w14:paraId="00195C9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C项，根据“由于这些导管极其细微，因此导管的内表面积与液体体积的比值也急剧上升，所以表面张力效应也变得显著”可知，毛细导管越细微，表面张力越显著，该选项表述与文意相悖，排除；</w:t>
      </w:r>
    </w:p>
    <w:p w14:paraId="5606192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D项，根据“表面张力同样可以让油沿着棉线往上爬，这种液体沿着纤维方向扩散的现象，叫芯吸效应”可知，文段并未阐述液体沿着纤维方向扩散是自下而上，该项表述无中生有，排除。</w:t>
      </w:r>
    </w:p>
    <w:p w14:paraId="4051909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shd w:val="clear" w:fill="FFFFFF"/>
        </w:rPr>
      </w:pPr>
      <w:r>
        <w:rPr>
          <w:rFonts w:hint="default" w:ascii="Segoe UI" w:hAnsi="Segoe UI" w:eastAsia="Segoe UI" w:cs="Segoe UI"/>
          <w:i w:val="0"/>
          <w:iCs w:val="0"/>
          <w:caps w:val="0"/>
          <w:color w:val="000000"/>
          <w:spacing w:val="0"/>
          <w:sz w:val="16"/>
          <w:szCs w:val="16"/>
          <w:shd w:val="clear" w:fill="FFFFFF"/>
        </w:rPr>
        <w:t>故正确答案为B。</w:t>
      </w:r>
    </w:p>
    <w:p w14:paraId="2009233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shd w:val="clear" w:fill="FFFFFF"/>
        </w:rPr>
      </w:pPr>
    </w:p>
    <w:p w14:paraId="796A8DA7">
      <w:pPr>
        <w:pStyle w:val="3"/>
        <w:keepNext w:val="0"/>
        <w:keepLines w:val="0"/>
        <w:widowControl/>
        <w:suppressLineNumbers w:val="0"/>
        <w:shd w:val="clear" w:fill="FFFFFF"/>
        <w:spacing w:before="0" w:beforeAutospacing="0" w:after="0" w:afterAutospacing="0" w:line="340" w:lineRule="atLeast"/>
        <w:ind w:left="0" w:right="0" w:firstLine="0"/>
        <w:rPr>
          <w:rFonts w:hint="eastAsia" w:ascii="Segoe UI" w:hAnsi="Segoe UI" w:eastAsia="宋体" w:cs="Segoe UI"/>
          <w:i w:val="0"/>
          <w:iCs w:val="0"/>
          <w:caps w:val="0"/>
          <w:color w:val="000000"/>
          <w:spacing w:val="0"/>
          <w:sz w:val="16"/>
          <w:szCs w:val="16"/>
          <w:shd w:val="clear" w:fill="FFFFFF"/>
          <w:lang w:val="en-US" w:eastAsia="zh-CN"/>
        </w:rPr>
      </w:pPr>
      <w:r>
        <w:rPr>
          <w:rFonts w:hint="eastAsia" w:ascii="Segoe UI" w:hAnsi="Segoe UI" w:eastAsia="宋体" w:cs="Segoe UI"/>
          <w:i w:val="0"/>
          <w:iCs w:val="0"/>
          <w:caps w:val="0"/>
          <w:color w:val="000000"/>
          <w:spacing w:val="0"/>
          <w:sz w:val="16"/>
          <w:szCs w:val="16"/>
          <w:shd w:val="clear" w:fill="FFFFFF"/>
          <w:lang w:val="en-US" w:eastAsia="zh-CN"/>
        </w:rPr>
        <w:t>43.C</w:t>
      </w:r>
    </w:p>
    <w:p w14:paraId="14D98E2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横线在中间，所填语句应承上启下。上文首先指出衰老对疾病的影响。接着提出同样的病老年人与非老年人有很大差别，并举例解释。横线后指出临床上“对此不够重视”这一问题。故横线处所填语句应与前后文话题一致，需体现“老年人”这一话题，且针对前文的问题提出相应对策，对应C项。</w:t>
      </w:r>
    </w:p>
    <w:p w14:paraId="4940FA8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A项，“药物耐受情况”属于前文例子内容，非重点，排除；</w:t>
      </w:r>
    </w:p>
    <w:p w14:paraId="15148E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B项，未提及“老年人疾病”的话题，排除；</w:t>
      </w:r>
    </w:p>
    <w:p w14:paraId="0F5FA0E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D项，对策不具有针对性，排除。</w:t>
      </w:r>
    </w:p>
    <w:p w14:paraId="2990528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45EA66E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宋体" w:cs="Segoe UI"/>
          <w:i w:val="0"/>
          <w:iCs w:val="0"/>
          <w:caps w:val="0"/>
          <w:color w:val="000000"/>
          <w:spacing w:val="0"/>
          <w:sz w:val="16"/>
          <w:szCs w:val="16"/>
          <w:shd w:val="clear" w:fill="FFFFFF"/>
          <w:lang w:val="en-US" w:eastAsia="zh-CN"/>
        </w:rPr>
      </w:pPr>
    </w:p>
    <w:p w14:paraId="0DB4E185">
      <w:pPr>
        <w:pStyle w:val="3"/>
        <w:keepNext w:val="0"/>
        <w:keepLines w:val="0"/>
        <w:widowControl/>
        <w:suppressLineNumbers w:val="0"/>
        <w:shd w:val="clear" w:fill="FFFFFF"/>
        <w:spacing w:before="0" w:beforeAutospacing="0" w:after="0" w:afterAutospacing="0" w:line="340" w:lineRule="atLeast"/>
        <w:ind w:left="0" w:right="0" w:firstLine="0"/>
        <w:rPr>
          <w:rFonts w:hint="eastAsia" w:ascii="Segoe UI" w:hAnsi="Segoe UI" w:eastAsia="宋体" w:cs="Segoe UI"/>
          <w:i w:val="0"/>
          <w:iCs w:val="0"/>
          <w:caps w:val="0"/>
          <w:color w:val="000000"/>
          <w:spacing w:val="0"/>
          <w:sz w:val="16"/>
          <w:szCs w:val="16"/>
          <w:shd w:val="clear" w:fill="FFFFFF"/>
          <w:lang w:val="en-US" w:eastAsia="zh-CN"/>
        </w:rPr>
      </w:pPr>
      <w:r>
        <w:rPr>
          <w:rFonts w:hint="eastAsia" w:ascii="Segoe UI" w:hAnsi="Segoe UI" w:eastAsia="宋体" w:cs="Segoe UI"/>
          <w:i w:val="0"/>
          <w:iCs w:val="0"/>
          <w:caps w:val="0"/>
          <w:color w:val="000000"/>
          <w:spacing w:val="0"/>
          <w:sz w:val="16"/>
          <w:szCs w:val="16"/>
          <w:shd w:val="clear" w:fill="FFFFFF"/>
          <w:lang w:val="en-US" w:eastAsia="zh-CN"/>
        </w:rPr>
        <w:t>44.D</w:t>
      </w:r>
    </w:p>
    <w:p w14:paraId="19796E0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选项，确定首句。⑥句对教与学的关系进行下定义，强调其是一对基本关系，适合作为首句。①句从哲学角度论述了学与教的关系，与⑥句相比，属于从某个角度进行具体解释说明，不适合作为首句，排除A项。④句强调应正确理解和定位教与学的关系，按照逻辑顺序，应先对教与学的关系进行下定义，再谈对其的理解和定位，故⑥句应在④句前，排除B、C项。</w:t>
      </w:r>
    </w:p>
    <w:p w14:paraId="78535E6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验证选项。①③句有共同信息，均提及内外因，并说明学是内因，教是外因。⑤句通过标志词“所以”进行总结，提及教学改革的具体做法，适合作为尾句。</w:t>
      </w:r>
    </w:p>
    <w:p w14:paraId="6F1865E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BF4F25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宋体" w:cs="Segoe UI"/>
          <w:i w:val="0"/>
          <w:iCs w:val="0"/>
          <w:caps w:val="0"/>
          <w:color w:val="000000"/>
          <w:spacing w:val="0"/>
          <w:sz w:val="16"/>
          <w:szCs w:val="16"/>
          <w:shd w:val="clear" w:fill="FFFFFF"/>
          <w:lang w:val="en-US" w:eastAsia="zh-CN"/>
        </w:rPr>
      </w:pPr>
    </w:p>
    <w:p w14:paraId="51EA3F20">
      <w:pPr>
        <w:pStyle w:val="3"/>
        <w:keepNext w:val="0"/>
        <w:keepLines w:val="0"/>
        <w:widowControl/>
        <w:suppressLineNumbers w:val="0"/>
        <w:shd w:val="clear" w:fill="FFFFFF"/>
        <w:spacing w:before="0" w:beforeAutospacing="0" w:after="0" w:afterAutospacing="0" w:line="340" w:lineRule="atLeast"/>
        <w:ind w:left="0" w:right="0" w:firstLine="0"/>
        <w:rPr>
          <w:rFonts w:hint="eastAsia" w:ascii="Segoe UI" w:hAnsi="Segoe UI" w:eastAsia="宋体" w:cs="Segoe UI"/>
          <w:i w:val="0"/>
          <w:iCs w:val="0"/>
          <w:caps w:val="0"/>
          <w:color w:val="000000"/>
          <w:spacing w:val="0"/>
          <w:sz w:val="16"/>
          <w:szCs w:val="16"/>
          <w:shd w:val="clear" w:fill="FFFFFF"/>
          <w:lang w:val="en-US" w:eastAsia="zh-CN"/>
        </w:rPr>
      </w:pPr>
      <w:r>
        <w:rPr>
          <w:rFonts w:hint="eastAsia" w:ascii="Segoe UI" w:hAnsi="Segoe UI" w:eastAsia="宋体" w:cs="Segoe UI"/>
          <w:i w:val="0"/>
          <w:iCs w:val="0"/>
          <w:caps w:val="0"/>
          <w:color w:val="000000"/>
          <w:spacing w:val="0"/>
          <w:sz w:val="16"/>
          <w:szCs w:val="16"/>
          <w:shd w:val="clear" w:fill="FFFFFF"/>
          <w:lang w:val="en-US" w:eastAsia="zh-CN"/>
        </w:rPr>
        <w:t>45.A</w:t>
      </w:r>
    </w:p>
    <w:p w14:paraId="09DF14D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观察选项，对比首句。①句提及锂通常应用的产业，②句追溯大多数锂的起源，④句强调锂是最早产生的三种元素之一，三句话均可作为首句，保留A、B、C项。而⑥句“可以说”通常作为结论词进行总结，故不适合作为首句，排除D项。</w:t>
      </w:r>
    </w:p>
    <w:p w14:paraId="61AFE96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寻找其他线索。⑤句“此外”表并列，强调锂元素还被大量应用于航空航天等领域，对比选项，⑤句前分别是①句和④句，①句提及锂通常应用的产业，与⑤句话题一致，可构成并列，锁定A项。而④句强调锂是最早产生的三种元素之一，不能与⑤句构成并列，排除B、C项。</w:t>
      </w:r>
    </w:p>
    <w:p w14:paraId="1897486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F32C75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宋体" w:cs="Segoe UI"/>
          <w:i w:val="0"/>
          <w:iCs w:val="0"/>
          <w:caps w:val="0"/>
          <w:color w:val="000000"/>
          <w:spacing w:val="0"/>
          <w:sz w:val="16"/>
          <w:szCs w:val="16"/>
          <w:shd w:val="clear" w:fill="FFFFFF"/>
          <w:lang w:val="en-US" w:eastAsia="zh-CN"/>
        </w:rPr>
      </w:pPr>
    </w:p>
    <w:p w14:paraId="1DE79B3D">
      <w:pPr>
        <w:pStyle w:val="3"/>
        <w:keepNext w:val="0"/>
        <w:keepLines w:val="0"/>
        <w:widowControl/>
        <w:suppressLineNumbers w:val="0"/>
        <w:shd w:val="clear" w:fill="FFFFFF"/>
        <w:spacing w:before="0" w:beforeAutospacing="0" w:after="0" w:afterAutospacing="0" w:line="340" w:lineRule="atLeast"/>
        <w:ind w:left="0" w:right="0" w:firstLine="0"/>
        <w:rPr>
          <w:rFonts w:hint="eastAsia" w:ascii="Segoe UI" w:hAnsi="Segoe UI" w:eastAsia="宋体" w:cs="Segoe UI"/>
          <w:i w:val="0"/>
          <w:iCs w:val="0"/>
          <w:caps w:val="0"/>
          <w:color w:val="000000"/>
          <w:spacing w:val="0"/>
          <w:sz w:val="16"/>
          <w:szCs w:val="16"/>
          <w:shd w:val="clear" w:fill="FFFFFF"/>
          <w:lang w:val="en-US" w:eastAsia="zh-CN"/>
        </w:rPr>
      </w:pPr>
      <w:r>
        <w:rPr>
          <w:rFonts w:hint="eastAsia" w:ascii="Segoe UI" w:hAnsi="Segoe UI" w:eastAsia="宋体" w:cs="Segoe UI"/>
          <w:i w:val="0"/>
          <w:iCs w:val="0"/>
          <w:caps w:val="0"/>
          <w:color w:val="000000"/>
          <w:spacing w:val="0"/>
          <w:sz w:val="16"/>
          <w:szCs w:val="16"/>
          <w:shd w:val="clear" w:fill="FFFFFF"/>
          <w:lang w:val="en-US" w:eastAsia="zh-CN"/>
        </w:rPr>
        <w:t>46.B</w:t>
      </w:r>
    </w:p>
    <w:p w14:paraId="0E7EECFC">
      <w:pPr>
        <w:pStyle w:val="3"/>
        <w:keepNext w:val="0"/>
        <w:keepLines w:val="0"/>
        <w:widowControl/>
        <w:suppressLineNumbers w:val="0"/>
        <w:shd w:val="clear" w:fill="FFFFFF"/>
        <w:spacing w:before="0" w:beforeAutospacing="0" w:after="0" w:afterAutospacing="0" w:line="340" w:lineRule="atLeast"/>
        <w:ind w:left="0" w:right="0" w:firstLine="0"/>
      </w:pPr>
      <w:r>
        <w:drawing>
          <wp:inline distT="0" distB="0" distL="114300" distR="114300">
            <wp:extent cx="5272405" cy="1798320"/>
            <wp:effectExtent l="0" t="0" r="1079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2405" cy="1798320"/>
                    </a:xfrm>
                    <a:prstGeom prst="rect">
                      <a:avLst/>
                    </a:prstGeom>
                    <a:noFill/>
                    <a:ln>
                      <a:noFill/>
                    </a:ln>
                  </pic:spPr>
                </pic:pic>
              </a:graphicData>
            </a:graphic>
          </wp:inline>
        </w:drawing>
      </w:r>
    </w:p>
    <w:p w14:paraId="21622712">
      <w:pPr>
        <w:pStyle w:val="3"/>
        <w:keepNext w:val="0"/>
        <w:keepLines w:val="0"/>
        <w:widowControl/>
        <w:suppressLineNumbers w:val="0"/>
        <w:shd w:val="clear" w:fill="FFFFFF"/>
        <w:spacing w:before="0" w:beforeAutospacing="0" w:after="0" w:afterAutospacing="0" w:line="340" w:lineRule="atLeast"/>
        <w:ind w:left="0" w:right="0" w:firstLine="0"/>
      </w:pPr>
    </w:p>
    <w:p w14:paraId="08A84F2B">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47.C</w:t>
      </w:r>
    </w:p>
    <w:p w14:paraId="5C33079B">
      <w:pPr>
        <w:pStyle w:val="3"/>
        <w:keepNext w:val="0"/>
        <w:keepLines w:val="0"/>
        <w:widowControl/>
        <w:suppressLineNumbers w:val="0"/>
        <w:shd w:val="clear" w:fill="FFFFFF"/>
        <w:spacing w:before="0" w:beforeAutospacing="0" w:after="0" w:afterAutospacing="0" w:line="340" w:lineRule="atLeast"/>
        <w:ind w:left="0" w:right="0" w:firstLine="0"/>
      </w:pPr>
      <w:r>
        <w:drawing>
          <wp:inline distT="0" distB="0" distL="114300" distR="114300">
            <wp:extent cx="5273040" cy="7137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3040" cy="713740"/>
                    </a:xfrm>
                    <a:prstGeom prst="rect">
                      <a:avLst/>
                    </a:prstGeom>
                    <a:noFill/>
                    <a:ln>
                      <a:noFill/>
                    </a:ln>
                  </pic:spPr>
                </pic:pic>
              </a:graphicData>
            </a:graphic>
          </wp:inline>
        </w:drawing>
      </w:r>
    </w:p>
    <w:p w14:paraId="519EE8C9">
      <w:pPr>
        <w:pStyle w:val="3"/>
        <w:keepNext w:val="0"/>
        <w:keepLines w:val="0"/>
        <w:widowControl/>
        <w:suppressLineNumbers w:val="0"/>
        <w:shd w:val="clear" w:fill="FFFFFF"/>
        <w:spacing w:before="0" w:beforeAutospacing="0" w:after="0" w:afterAutospacing="0" w:line="340" w:lineRule="atLeast"/>
        <w:ind w:left="0" w:right="0" w:firstLine="0"/>
      </w:pPr>
    </w:p>
    <w:p w14:paraId="1AF4EBEC">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48.A</w:t>
      </w:r>
    </w:p>
    <w:p w14:paraId="204BF9A5">
      <w:pPr>
        <w:pStyle w:val="3"/>
        <w:keepNext w:val="0"/>
        <w:keepLines w:val="0"/>
        <w:widowControl/>
        <w:suppressLineNumbers w:val="0"/>
        <w:shd w:val="clear" w:fill="FFFFFF"/>
        <w:spacing w:before="0" w:beforeAutospacing="0" w:after="0" w:afterAutospacing="0" w:line="340" w:lineRule="atLeast"/>
        <w:ind w:left="0" w:right="0" w:firstLine="0"/>
      </w:pPr>
      <w:r>
        <w:drawing>
          <wp:inline distT="0" distB="0" distL="114300" distR="114300">
            <wp:extent cx="5273040" cy="1061720"/>
            <wp:effectExtent l="0" t="0" r="1016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040" cy="1061720"/>
                    </a:xfrm>
                    <a:prstGeom prst="rect">
                      <a:avLst/>
                    </a:prstGeom>
                    <a:noFill/>
                    <a:ln>
                      <a:noFill/>
                    </a:ln>
                  </pic:spPr>
                </pic:pic>
              </a:graphicData>
            </a:graphic>
          </wp:inline>
        </w:drawing>
      </w:r>
    </w:p>
    <w:p w14:paraId="5A81EC77">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49.D</w:t>
      </w:r>
    </w:p>
    <w:p w14:paraId="51DFADE2">
      <w:pPr>
        <w:pStyle w:val="3"/>
        <w:keepNext w:val="0"/>
        <w:keepLines w:val="0"/>
        <w:widowControl/>
        <w:suppressLineNumbers w:val="0"/>
        <w:shd w:val="clear" w:fill="FFFFFF"/>
        <w:spacing w:before="0" w:beforeAutospacing="0" w:after="0" w:afterAutospacing="0" w:line="340" w:lineRule="atLeast"/>
        <w:ind w:left="0" w:right="0" w:firstLine="0"/>
      </w:pPr>
      <w:r>
        <w:drawing>
          <wp:inline distT="0" distB="0" distL="114300" distR="114300">
            <wp:extent cx="5273040" cy="713740"/>
            <wp:effectExtent l="0" t="0" r="101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3040" cy="713740"/>
                    </a:xfrm>
                    <a:prstGeom prst="rect">
                      <a:avLst/>
                    </a:prstGeom>
                    <a:noFill/>
                    <a:ln>
                      <a:noFill/>
                    </a:ln>
                  </pic:spPr>
                </pic:pic>
              </a:graphicData>
            </a:graphic>
          </wp:inline>
        </w:drawing>
      </w:r>
    </w:p>
    <w:p w14:paraId="6298644E">
      <w:pPr>
        <w:pStyle w:val="3"/>
        <w:keepNext w:val="0"/>
        <w:keepLines w:val="0"/>
        <w:widowControl/>
        <w:suppressLineNumbers w:val="0"/>
        <w:shd w:val="clear" w:fill="FFFFFF"/>
        <w:spacing w:before="0" w:beforeAutospacing="0" w:after="0" w:afterAutospacing="0" w:line="340" w:lineRule="atLeast"/>
        <w:ind w:left="0" w:right="0" w:firstLine="0"/>
      </w:pPr>
    </w:p>
    <w:p w14:paraId="767CAFCA">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50.A</w:t>
      </w:r>
    </w:p>
    <w:p w14:paraId="07E495BE">
      <w:pPr>
        <w:pStyle w:val="3"/>
        <w:keepNext w:val="0"/>
        <w:keepLines w:val="0"/>
        <w:widowControl/>
        <w:suppressLineNumbers w:val="0"/>
        <w:shd w:val="clear" w:fill="FFFFFF"/>
        <w:spacing w:before="0" w:beforeAutospacing="0" w:after="0" w:afterAutospacing="0" w:line="340" w:lineRule="atLeast"/>
        <w:ind w:left="0" w:right="0" w:firstLine="0"/>
      </w:pPr>
      <w:r>
        <w:drawing>
          <wp:inline distT="0" distB="0" distL="114300" distR="114300">
            <wp:extent cx="5267325" cy="1649730"/>
            <wp:effectExtent l="0" t="0" r="317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7325" cy="1649730"/>
                    </a:xfrm>
                    <a:prstGeom prst="rect">
                      <a:avLst/>
                    </a:prstGeom>
                    <a:noFill/>
                    <a:ln>
                      <a:noFill/>
                    </a:ln>
                  </pic:spPr>
                </pic:pic>
              </a:graphicData>
            </a:graphic>
          </wp:inline>
        </w:drawing>
      </w:r>
    </w:p>
    <w:p w14:paraId="5C36EA30">
      <w:pPr>
        <w:pStyle w:val="3"/>
        <w:keepNext w:val="0"/>
        <w:keepLines w:val="0"/>
        <w:widowControl/>
        <w:suppressLineNumbers w:val="0"/>
        <w:shd w:val="clear" w:fill="FFFFFF"/>
        <w:spacing w:before="0" w:beforeAutospacing="0" w:after="0" w:afterAutospacing="0" w:line="340" w:lineRule="atLeast"/>
        <w:ind w:left="0" w:right="0" w:firstLine="0"/>
      </w:pPr>
    </w:p>
    <w:p w14:paraId="6272905E">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51.A</w:t>
      </w:r>
    </w:p>
    <w:p w14:paraId="73602D7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如下图所示，图2将1个白色圆形涂黑后能成为轴对称图形，图1、图3和图4至少需要将2个白色圆形涂黑后能成为轴对称图形。</w:t>
      </w:r>
    </w:p>
    <w:p w14:paraId="659D416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133850" cy="1143000"/>
            <wp:effectExtent l="0" t="0" r="6350"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0"/>
                    <a:stretch>
                      <a:fillRect/>
                    </a:stretch>
                  </pic:blipFill>
                  <pic:spPr>
                    <a:xfrm>
                      <a:off x="0" y="0"/>
                      <a:ext cx="4133850" cy="1143000"/>
                    </a:xfrm>
                    <a:prstGeom prst="rect">
                      <a:avLst/>
                    </a:prstGeom>
                    <a:noFill/>
                    <a:ln w="9525">
                      <a:noFill/>
                    </a:ln>
                  </pic:spPr>
                </pic:pic>
              </a:graphicData>
            </a:graphic>
          </wp:inline>
        </w:drawing>
      </w:r>
    </w:p>
    <w:p w14:paraId="646325C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814F70D">
      <w:pPr>
        <w:pStyle w:val="3"/>
        <w:keepNext w:val="0"/>
        <w:keepLines w:val="0"/>
        <w:widowControl/>
        <w:suppressLineNumbers w:val="0"/>
        <w:shd w:val="clear" w:fill="FFFFFF"/>
        <w:spacing w:before="0" w:beforeAutospacing="0" w:after="0" w:afterAutospacing="0" w:line="340" w:lineRule="atLeast"/>
        <w:ind w:left="0" w:right="0" w:firstLine="0"/>
        <w:rPr>
          <w:rFonts w:hint="default"/>
          <w:lang w:val="en-US" w:eastAsia="zh-CN"/>
        </w:rPr>
      </w:pPr>
    </w:p>
    <w:p w14:paraId="1AAEE6C5">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52.C</w:t>
      </w:r>
    </w:p>
    <w:p w14:paraId="4E0E31F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相同，优先考虑位置规律。观察发现，题干每幅图均出现两种小元素，考虑不同元素分开看，且元素位置发生变化，优先考虑平移。每幅图内圈均有一个四角星，优先考虑内外分开看。内圈四角星沿着顺时针（逆时针）依次平移两格；外圈两个“×”沿着逆时针方向依次平移一格，四个四角星依次顺时针平移两格，故？处应选择按此规律得到的图形，只有C项符合。</w:t>
      </w:r>
    </w:p>
    <w:p w14:paraId="6C60D08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6B533F1">
      <w:pPr>
        <w:pStyle w:val="3"/>
        <w:keepNext w:val="0"/>
        <w:keepLines w:val="0"/>
        <w:widowControl/>
        <w:suppressLineNumbers w:val="0"/>
        <w:shd w:val="clear" w:fill="FFFFFF"/>
        <w:spacing w:before="0" w:beforeAutospacing="0" w:after="0" w:afterAutospacing="0" w:line="340" w:lineRule="atLeast"/>
        <w:ind w:left="0" w:right="0" w:firstLine="0"/>
        <w:rPr>
          <w:rFonts w:hint="default"/>
          <w:lang w:val="en-US" w:eastAsia="zh-CN"/>
        </w:rPr>
      </w:pPr>
    </w:p>
    <w:p w14:paraId="2AB1582F">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53.C</w:t>
      </w:r>
    </w:p>
    <w:p w14:paraId="1D4F568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不同，且无明显属性规律、数量规律，优先考虑特殊规律。观察发现，题干每幅图均出现黑点，考虑功能元素的标记作用。图①④⑤中的小黑点均标记线，图②③⑥中的小黑点均标记交点，故图①④⑤为一组，图②③⑥为一组。</w:t>
      </w:r>
    </w:p>
    <w:p w14:paraId="7A36ABA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DC4D3EF">
      <w:pPr>
        <w:pStyle w:val="3"/>
        <w:keepNext w:val="0"/>
        <w:keepLines w:val="0"/>
        <w:widowControl/>
        <w:suppressLineNumbers w:val="0"/>
        <w:shd w:val="clear" w:fill="FFFFFF"/>
        <w:spacing w:before="0" w:beforeAutospacing="0" w:after="0" w:afterAutospacing="0" w:line="340" w:lineRule="atLeast"/>
        <w:ind w:left="0" w:right="0" w:firstLine="0"/>
        <w:rPr>
          <w:rFonts w:hint="default"/>
          <w:lang w:val="en-US" w:eastAsia="zh-CN"/>
        </w:rPr>
      </w:pPr>
    </w:p>
    <w:p w14:paraId="5DF5E55D">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54.D</w:t>
      </w:r>
    </w:p>
    <w:p w14:paraId="53FD9C2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元素组成相似，优先考虑样式规律。观察发现，题干分割区域相同，内部颜色不同，优先考虑黑白运算。九宫格优先按行看，第一行图形中，</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990600" cy="219075"/>
            <wp:effectExtent l="0" t="0" r="0" b="1016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1"/>
                    <a:stretch>
                      <a:fillRect/>
                    </a:stretch>
                  </pic:blipFill>
                  <pic:spPr>
                    <a:xfrm>
                      <a:off x="0" y="0"/>
                      <a:ext cx="99060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990600" cy="219075"/>
            <wp:effectExtent l="0" t="0" r="0" b="10160"/>
            <wp:docPr id="8"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7"/>
                    <pic:cNvPicPr>
                      <a:picLocks noChangeAspect="1"/>
                    </pic:cNvPicPr>
                  </pic:nvPicPr>
                  <pic:blipFill>
                    <a:blip r:embed="rId12"/>
                    <a:stretch>
                      <a:fillRect/>
                    </a:stretch>
                  </pic:blipFill>
                  <pic:spPr>
                    <a:xfrm>
                      <a:off x="0" y="0"/>
                      <a:ext cx="99060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971550" cy="219075"/>
            <wp:effectExtent l="0" t="0" r="0" b="10160"/>
            <wp:docPr id="10" name="图片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8"/>
                    <pic:cNvPicPr>
                      <a:picLocks noChangeAspect="1"/>
                    </pic:cNvPicPr>
                  </pic:nvPicPr>
                  <pic:blipFill>
                    <a:blip r:embed="rId13"/>
                    <a:stretch>
                      <a:fillRect/>
                    </a:stretch>
                  </pic:blipFill>
                  <pic:spPr>
                    <a:xfrm>
                      <a:off x="0" y="0"/>
                      <a:ext cx="97155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990600" cy="219075"/>
            <wp:effectExtent l="0" t="0" r="0" b="10160"/>
            <wp:docPr id="9" name="图片 1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59"/>
                    <pic:cNvPicPr>
                      <a:picLocks noChangeAspect="1"/>
                    </pic:cNvPicPr>
                  </pic:nvPicPr>
                  <pic:blipFill>
                    <a:blip r:embed="rId14"/>
                    <a:stretch>
                      <a:fillRect/>
                    </a:stretch>
                  </pic:blipFill>
                  <pic:spPr>
                    <a:xfrm>
                      <a:off x="0" y="0"/>
                      <a:ext cx="99060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；经验证，第二行满足此规律；第三行应用此规律，故？处应选择按此规律运算得到的图形，只有D项符合。</w:t>
      </w:r>
    </w:p>
    <w:p w14:paraId="208A8E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7D7C4A48">
      <w:pPr>
        <w:pStyle w:val="3"/>
        <w:keepNext w:val="0"/>
        <w:keepLines w:val="0"/>
        <w:widowControl/>
        <w:suppressLineNumbers w:val="0"/>
        <w:shd w:val="clear" w:fill="FFFFFF"/>
        <w:spacing w:before="0" w:beforeAutospacing="0" w:after="0" w:afterAutospacing="0" w:line="340" w:lineRule="atLeast"/>
        <w:ind w:left="0" w:right="0" w:firstLine="0"/>
        <w:rPr>
          <w:rFonts w:hint="default"/>
          <w:lang w:val="en-US" w:eastAsia="zh-CN"/>
        </w:rPr>
      </w:pPr>
    </w:p>
    <w:p w14:paraId="3FCF61CB">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55.B</w:t>
      </w:r>
    </w:p>
    <w:p w14:paraId="7A52A53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本题为空间重构题。</w:t>
      </w:r>
    </w:p>
    <w:p w14:paraId="11D43F0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在展开图和立体图中，从面a引出一条直线的顶点（标红点）开始顺时针方向对面a进行画边并标号，如下图所示：</w:t>
      </w:r>
    </w:p>
    <w:p w14:paraId="30B7EE8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5274310" cy="1039495"/>
            <wp:effectExtent l="0" t="0" r="8890" b="190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5"/>
                    <a:stretch>
                      <a:fillRect/>
                    </a:stretch>
                  </pic:blipFill>
                  <pic:spPr>
                    <a:xfrm>
                      <a:off x="0" y="0"/>
                      <a:ext cx="5274310" cy="1039495"/>
                    </a:xfrm>
                    <a:prstGeom prst="rect">
                      <a:avLst/>
                    </a:prstGeom>
                    <a:noFill/>
                    <a:ln w="9525">
                      <a:noFill/>
                    </a:ln>
                  </pic:spPr>
                </pic:pic>
              </a:graphicData>
            </a:graphic>
          </wp:inline>
        </w:drawing>
      </w:r>
    </w:p>
    <w:p w14:paraId="4FC1C67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A项：展开图中，边①与面b中黑三角形挨着，但立体图中，边①与白色三角形挨着，选项与展开图不一致，排除；</w:t>
      </w:r>
    </w:p>
    <w:p w14:paraId="6C5FC9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B项：选项与展开图一致，当选；</w:t>
      </w:r>
    </w:p>
    <w:p w14:paraId="24CFEA0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C项：展开图中，边②与面c中白色三角形挨着，经过边①后的标蓝点没有引出面c中黑色三角形，但立体图中，边②与面c中白色三角形挨着，但经过边①后的标蓝点引出黑色三角形，选项与展开图不一致，排除；</w:t>
      </w:r>
    </w:p>
    <w:p w14:paraId="7C29D00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D项：展开图中，边①与面b中黑三角形挨着，但立体图中，边①与白色三角形挨着，选项与展开图不一致，排除。</w:t>
      </w:r>
    </w:p>
    <w:p w14:paraId="46064D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585EA596">
      <w:pPr>
        <w:pStyle w:val="3"/>
        <w:keepNext w:val="0"/>
        <w:keepLines w:val="0"/>
        <w:widowControl/>
        <w:suppressLineNumbers w:val="0"/>
        <w:shd w:val="clear" w:fill="FFFFFF"/>
        <w:spacing w:before="0" w:beforeAutospacing="0" w:after="0" w:afterAutospacing="0" w:line="340" w:lineRule="atLeast"/>
        <w:ind w:left="0" w:right="0" w:firstLine="0"/>
        <w:rPr>
          <w:rFonts w:hint="default"/>
          <w:lang w:val="en-US" w:eastAsia="zh-CN"/>
        </w:rPr>
      </w:pPr>
    </w:p>
    <w:p w14:paraId="1A56ABA5">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56.B</w:t>
      </w:r>
    </w:p>
    <w:p w14:paraId="4902E08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347CF73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“当一个自己不熟悉的事物出现时”、“难以对其未来情况作出预测”、“产生一种自然而然的抗拒感，或者出现与现实不相称的过度担心和烦恼”。</w:t>
      </w:r>
    </w:p>
    <w:p w14:paraId="180F19D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CBB49C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A项：小刘本月销售业绩不好，当经理说这周要进行总结时，他很担心被辞退，这里的担忧源于销售业绩不佳，而工作总结是职场中常见的环节，不符合“当一个自己不熟悉的事物出现时”，不符合定义，排除；</w:t>
      </w:r>
    </w:p>
    <w:p w14:paraId="744C733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小李第一次登上讲台，这是一个他不熟悉的新情境，且难以完全预测未来的表现如何，因此，他产生的紧张感和难以入眠的状态，符合“当一个自己不熟悉的事物出现时”、“难以对其未来情况作出预测”、“产生一种自然而然的抗拒感，或者出现与现实不相称的过度担心和烦恼”，符合定义，当选；</w:t>
      </w:r>
    </w:p>
    <w:p w14:paraId="1404564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一想到这次的项目要和自己不喜欢的同事进行合作，小飞就觉得很烦恼，这里的烦恼源于与不喜欢的同事合作，而非因为不熟悉的事物或难以预测的未来情况，不符合“当一个自己不熟悉的事物出现时”、“难以对其未来情况作出预测”，不符合定义，排除；</w:t>
      </w:r>
    </w:p>
    <w:p w14:paraId="3CC298E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王阿姨想炒股，但是一听邻居说自己炒股一直亏本，就打消了这个念头，王阿姨放弃炒股是基于邻居的经验，而非因为不熟悉炒股或难以预测其未来情况，不符合“当一个自己不熟悉的事物出现时”、“难以对其未来情况作出预测”、“产生一种自然而然的抗拒感，或者出现与现实不相称的过度担心和烦恼”，不符合定义，排除。</w:t>
      </w:r>
    </w:p>
    <w:p w14:paraId="79C26F4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31CFA312">
      <w:pPr>
        <w:pStyle w:val="3"/>
        <w:keepNext w:val="0"/>
        <w:keepLines w:val="0"/>
        <w:widowControl/>
        <w:suppressLineNumbers w:val="0"/>
        <w:shd w:val="clear" w:fill="FFFFFF"/>
        <w:spacing w:before="0" w:beforeAutospacing="0" w:after="0" w:afterAutospacing="0" w:line="340" w:lineRule="atLeast"/>
        <w:ind w:left="0" w:right="0" w:firstLine="0"/>
        <w:rPr>
          <w:rFonts w:hint="default"/>
          <w:lang w:val="en-US" w:eastAsia="zh-CN"/>
        </w:rPr>
      </w:pPr>
    </w:p>
    <w:p w14:paraId="190EB155">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57.D</w:t>
      </w:r>
    </w:p>
    <w:p w14:paraId="122C8CF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4B74281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唯名论：“认为个别、殊相先于一般、共相，只有个别事物才是真实的存在”、“一般、共相仅仅是人们用来表达个别事物的名称、概念、符号”；</w:t>
      </w:r>
    </w:p>
    <w:p w14:paraId="60247A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唯实论：“认为一般、共相是先于个别事物并派生出个别事物的实体，只有它们才是在意识之外的客观实在”。</w:t>
      </w:r>
    </w:p>
    <w:p w14:paraId="6CD2CEB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F69110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A项：只有一般、共相才有客观实在性，符合“认为一般、共相是先于个别事物并派生出个别事物的实体，只有它们才是在意识之外的客观实在”，符合“唯实论”，不符合“唯名论”，排除；</w:t>
      </w:r>
    </w:p>
    <w:p w14:paraId="78C3023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一般、共相就是理念，理念是世界万物的原型，只有它才是独立存在的实体，符合“认为一般、共相是先于个别事物并派生出个别事物的实体，只有它们才是在意识之外的客观实在”，符合“唯实论”，不符合“唯名论”，排除；</w:t>
      </w:r>
    </w:p>
    <w:p w14:paraId="0F2967A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共相是独立于个别事物的第一实体，共相是个别事物的本质或原始形式，符合“认为一般、共相是先于个别事物并派生出个别事物的实体，只有它们才是在意识之外的客观实在”，符合“唯实论”，不符合“唯名论”，排除；</w:t>
      </w:r>
    </w:p>
    <w:p w14:paraId="29E96D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D项：一般只是人们创造出来用以表示许多个体之间相似性的标记、文字，符合“一般、共相仅仅是人们用来表达个别事物的名称、概念、符号”，符合“唯名论”，当选。</w:t>
      </w:r>
    </w:p>
    <w:p w14:paraId="1688DF8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4B1F9393">
      <w:pPr>
        <w:pStyle w:val="3"/>
        <w:keepNext w:val="0"/>
        <w:keepLines w:val="0"/>
        <w:widowControl/>
        <w:suppressLineNumbers w:val="0"/>
        <w:shd w:val="clear" w:fill="FFFFFF"/>
        <w:spacing w:before="0" w:beforeAutospacing="0" w:after="0" w:afterAutospacing="0" w:line="340" w:lineRule="atLeast"/>
        <w:ind w:left="0" w:right="0" w:firstLine="0"/>
        <w:rPr>
          <w:rFonts w:hint="default"/>
          <w:lang w:val="en-US" w:eastAsia="zh-CN"/>
        </w:rPr>
      </w:pPr>
    </w:p>
    <w:p w14:paraId="14761B4D">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58.C</w:t>
      </w:r>
    </w:p>
    <w:p w14:paraId="306B93DF">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第一步：找出定义关键词。</w:t>
      </w:r>
    </w:p>
    <w:p w14:paraId="13355A9B">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“按照消费者所处的地理位置、自然环境来细分市场”、“由于处在不同地理环境下的消费者对于同一类产品往往会有不同的需求和偏好”。</w:t>
      </w:r>
    </w:p>
    <w:p w14:paraId="6D38A6F2">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第二步：逐一分析选项。</w:t>
      </w:r>
    </w:p>
    <w:p w14:paraId="4E489A8D">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A项：某乳品公司在奶源地建了生产基地，在多个畅销地也建了生产基地，该项主要关注的是生产地点的选择，而没有明确体现出不同地理位置的消费者在需求或偏好上的差异，不符合“按照消费者所处的地理位置、自然环境来细分市场”、“由于处在不同地理环境下的消费者对于同一类产品往往会有不同的需求和偏好”，不符合定义，排除；</w:t>
      </w:r>
    </w:p>
    <w:p w14:paraId="5AB658BE">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B项：某服装出口企业根据需要，分别设置了海运、陆运、空运的发货仓，该项主要关注的是物流方式的选择，与消费者的地理位置或自然环境导致的需求和偏好差异无关，不符合“按照消费者所处的地理位置、自然环境来细分市场”、“由于处在不同地理环境下的消费者对于同一类产品往往会有不同的需求和偏好”，不符合定义，排除；</w:t>
      </w:r>
    </w:p>
    <w:p w14:paraId="158CD961">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C项：某咖啡连锁店在甲国售卖的咖啡味道较淡，而在乙国售卖的则较浓，该项明确指出了在不同国家（即不同的地理位置）销售的咖啡味道不同，这反映了不同地理环境下的消费者对咖啡口味有不同的需求和偏好，符合“按照消费者所处的地理位置、自然环境来细分市场”、“由于处在不同地理环境下的消费者对于同一类产品往往会有不同的需求和偏好”，符合定义，当选；</w:t>
      </w:r>
    </w:p>
    <w:p w14:paraId="3B24C1DA">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D项：某品牌洗发水分男款和女款，其广告也选用不同性别的模特来拍摄，该项主要关注的是产品按性别细分，而不是按地理位置或自然环境细分，不符合“按照消费者所处的地理位置、自然环境来细分市场”、“由于处在不同地理环境下的消费者对于同一类产品往往会有不同的需求和偏好”，不符合定义，排除。</w:t>
      </w:r>
    </w:p>
    <w:p w14:paraId="5532D9B5">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故正确答案为C。</w:t>
      </w:r>
    </w:p>
    <w:p w14:paraId="7995D240">
      <w:pPr>
        <w:pStyle w:val="3"/>
        <w:keepNext w:val="0"/>
        <w:keepLines w:val="0"/>
        <w:widowControl/>
        <w:suppressLineNumbers w:val="0"/>
        <w:spacing w:before="0" w:beforeAutospacing="0" w:after="0" w:afterAutospacing="0" w:line="340" w:lineRule="atLeast"/>
        <w:ind w:left="0" w:right="0"/>
        <w:rPr>
          <w:sz w:val="16"/>
          <w:szCs w:val="16"/>
        </w:rPr>
      </w:pPr>
    </w:p>
    <w:p w14:paraId="464E45DC">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59.D</w:t>
      </w:r>
    </w:p>
    <w:p w14:paraId="1E6117A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4438F9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空间语言：“利用空间距离表达信息”；</w:t>
      </w:r>
    </w:p>
    <w:p w14:paraId="3B8409F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体态语言：“通过身体的动作符号、脸部的表情符号表现某种具体含义”。</w:t>
      </w:r>
    </w:p>
    <w:p w14:paraId="3587EC4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00F5E6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A项：有分歧的国家代表坐在长桌的两端，体现了空间距离，符合“利用空间距离表达信息”，使用了空间语言，未使用体态语言，排除；</w:t>
      </w:r>
    </w:p>
    <w:p w14:paraId="77B0BCD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B项：国家代表愉快的接受采访，既未体现空间距离，也未明确体现动作符号和脸部的表情，既未使用空间语言，也未使用体态语言，排除；</w:t>
      </w:r>
    </w:p>
    <w:p w14:paraId="569127E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C项：国家领导人保持严肃表情，通过脸部的表情符号表现了具体含义，符合“通过身体的动作符号、脸部的表情符号表现某种具体含义”，使用了体态语言，未使用空间语言，排除；</w:t>
      </w:r>
    </w:p>
    <w:p w14:paraId="2B7B3AC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某国家元首远远地伸出手臂做出握手动作，“远远”体现了空间距离，符合“利用空间距离表达信息”，使用了空间语言，“伸出手臂做出握手动作”体现了身体的动作符号，符合“通过身体的动作符号、脸部的表情符号表现某种具体含义”，使用了体态语言，当选。</w:t>
      </w:r>
    </w:p>
    <w:p w14:paraId="775ABC0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36A5DB55">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2C9B2F9D">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60.C</w:t>
      </w:r>
    </w:p>
    <w:p w14:paraId="643CD07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4117640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隐域植被：“在一定的气候带或大气候区内，受非地带性环境因素（如地下水、地表水、地貌部位或地表组成物质等）影响而形成的自然植被或群落类型”、“不固定于某一植被带，而是出现于两个以上的植被带内、具有广布性的特征”；</w:t>
      </w:r>
    </w:p>
    <w:p w14:paraId="0EEB2A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显域植被：“在地球表面，与水热条件相适应，能充分反应地区气候环境特点的、呈带状分布的植被类型，一般按纬度、经度或垂直高度分布”。</w:t>
      </w:r>
    </w:p>
    <w:p w14:paraId="6EC1F35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102407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位于我国大陆南端的雷州半岛，其植被类型为季雨林，（季雨林）与地理位置（雷州半岛）的气候条件相适应，符合“在地球表面，与水热条件相适应，能充分反应地区气候环境特点的、呈带状分布的植被类型，一般按纬度、经度或垂直高度分布”，符合“显域植被”定义，不符合“隐域植被”定义，排除；</w:t>
      </w:r>
    </w:p>
    <w:p w14:paraId="5A68ED6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夏绿阔叶林经常在具有温带海洋性气候特征的地区分布，夏绿阔叶林的分布情况与特定的气候条件紧密相关，符合“在地球表面，与水热条件相适应，能充分反应地区气候环境特点的、呈带状分布的植被类型，一般按纬度、经度或垂直高度分布”，符合“显域植被”定义，不符合“隐域植被”定义，排除；</w:t>
      </w:r>
    </w:p>
    <w:p w14:paraId="0E03B7D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水生植被普遍分布在世界各地的湖泊、河流等淡水水域，水生植被并不局限于某一特定的气候带或植被带，而是广泛分布在世界各地的淡水水域中，符合“在一定的气候带或大气候区内，受非地带性环境因素（如地下水、地表水、地貌部位或地表组成物质等）影响而形成的自然植被或群落类型”、“不固定于某一植被带，而是出现于两个以上的植被带内、具有广布性的特征”，符合“隐域植被”定义，当选；</w:t>
      </w:r>
    </w:p>
    <w:p w14:paraId="6A380FD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内蒙古由东向西降水量减少，其植被呈森林-草原-半荒漠-荒漠分布，该项描述了植被类型随降水量变化的带状分布，与气候条件（降水量）的变化紧密相关，符合“在地球表面，与水热条件相适应，能充分反应地区气候环境特点的、呈带状分布的植被类型，一般按纬度、经度或垂直高度分布”，符合“显域植被”定义，不符合“隐域植被”定义，排除。</w:t>
      </w:r>
    </w:p>
    <w:p w14:paraId="29E436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9F03600">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75D21304">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61.D</w:t>
      </w:r>
    </w:p>
    <w:p w14:paraId="001A994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7842B4B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矛盾关系：“两个命题之间既不能同真也不能同假”；</w:t>
      </w:r>
    </w:p>
    <w:p w14:paraId="1723D2E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上反对关系：“两个命题之间不能同真但可以同假”；</w:t>
      </w:r>
    </w:p>
    <w:p w14:paraId="22D36FD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下反对关系：“两个命题之间可以同真但不能同假”。</w:t>
      </w:r>
    </w:p>
    <w:p w14:paraId="68AA370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5FA15EF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A项：“花园里的郁金香都开了”和“花园里的郁金香都没开”可以同假，不能同真，不符合“两个命题之间可以同真但不能同假”，不符合下反对关系定义，排除；</w:t>
      </w:r>
    </w:p>
    <w:p w14:paraId="03C8606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B项：“花园里的郁金香有些开了”和“花园里的郁金香都没开”既不能同真也不能同假，符合矛盾关系，不符合下反对关系，排除；</w:t>
      </w:r>
    </w:p>
    <w:p w14:paraId="11D7B6A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C项：“花园里的郁金香有些没开”和“花园里的郁金香都开了”既不能同真也不能同假，符合矛盾关系，不符合下反对关系，排除；</w:t>
      </w:r>
    </w:p>
    <w:p w14:paraId="135F7C0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D项：“花园里的郁金香有些开了”和“花园里的郁金香有些没开”可以同真但不能同假，符合“两个命题之间可以同真但不能同假”，符合下反对关系定义，当选。</w:t>
      </w:r>
    </w:p>
    <w:p w14:paraId="43C64E1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AA84C4F">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7BC44BAA">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62.B</w:t>
      </w:r>
    </w:p>
    <w:p w14:paraId="081DF43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385602B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释语：“借用释义的方式，对词语的含义加以临时的引申、发挥，或做形象化的说明”；</w:t>
      </w:r>
    </w:p>
    <w:p w14:paraId="068878A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义界释语：“用下定义的方式对某一词语作主观性界定”；</w:t>
      </w:r>
    </w:p>
    <w:p w14:paraId="6DE3E6C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特指释语：“在具体语境中对某一词语进行解释，离开了语境其意义就会发生改变”；</w:t>
      </w:r>
    </w:p>
    <w:p w14:paraId="719AFA1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探源释语：“对词语的来历作寻根探源的解释”。</w:t>
      </w:r>
    </w:p>
    <w:p w14:paraId="5F13C12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21DE108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杨帅长相平平，却被居民们称为“帅哥”，在该语境中“帅哥”用于表达对他的尊敬和亲近，离开语境后“帅哥”指的是面容姣好的男子，符合“在具体语境中对某一词语进行解释，离开了语境其意义就会发生改变”符合“特指释语”定义，不符合“探源释语”定义，排除；</w:t>
      </w:r>
    </w:p>
    <w:p w14:paraId="389D572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B项：贱”字古字形从贝，戋声，贝表示与财务相关，介绍了这个字的来历，符合“对词语的来历作寻根探源的解释”，符合“探源释语”定义，当选；</w:t>
      </w:r>
    </w:p>
    <w:p w14:paraId="5E22B60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情”和“感”两个字都有“心”，就是说，情感应该是发自内心的，没有心就没有情感，该说法是对“情感”的主观看法，符合“用下定义的方式对某一词语作主观性界定”、符合“义界释语”定义，不符合“探源释语”定义，排除；</w:t>
      </w:r>
    </w:p>
    <w:p w14:paraId="6399458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朋”字中两个月亮，并排发光、肝胆相照、但也始终保持着必要的距离，该说法是对“朋”的主观看法，符合“用下定义的方式对某一词语作主观性界定”、符合“义界释语”定义，不符合“探源释语”定义，排除。</w:t>
      </w:r>
    </w:p>
    <w:p w14:paraId="389AB24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44280698">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0D1C5214">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63.B</w:t>
      </w:r>
    </w:p>
    <w:p w14:paraId="5AE5309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3734A6B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差等差数列：“数列的后项与前项之差组成的新数列是等差数列”；</w:t>
      </w:r>
    </w:p>
    <w:p w14:paraId="2FCED1D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比等差数列：“数列的后项与前项之比组成的新数列是等差数列”；</w:t>
      </w:r>
    </w:p>
    <w:p w14:paraId="29B2DEC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差等比数列：“数列的后项与前项之差组成的新数列是等比数列”。</w:t>
      </w:r>
    </w:p>
    <w:p w14:paraId="6CA0F0D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9FF9F1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（1）：“</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323975" cy="190500"/>
            <wp:effectExtent l="0" t="0" r="0" b="0"/>
            <wp:docPr id="2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descr="IMG_256"/>
                    <pic:cNvPicPr>
                      <a:picLocks noChangeAspect="1"/>
                    </pic:cNvPicPr>
                  </pic:nvPicPr>
                  <pic:blipFill>
                    <a:blip r:embed="rId16"/>
                    <a:stretch>
                      <a:fillRect/>
                    </a:stretch>
                  </pic:blipFill>
                  <pic:spPr>
                    <a:xfrm>
                      <a:off x="0" y="0"/>
                      <a:ext cx="13239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019175" cy="190500"/>
            <wp:effectExtent l="0" t="0" r="0" b="0"/>
            <wp:docPr id="22" name="图片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descr="IMG_257"/>
                    <pic:cNvPicPr>
                      <a:picLocks noChangeAspect="1"/>
                    </pic:cNvPicPr>
                  </pic:nvPicPr>
                  <pic:blipFill>
                    <a:blip r:embed="rId17"/>
                    <a:stretch>
                      <a:fillRect/>
                    </a:stretch>
                  </pic:blipFill>
                  <pic:spPr>
                    <a:xfrm>
                      <a:off x="0" y="0"/>
                      <a:ext cx="10191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752475" cy="190500"/>
            <wp:effectExtent l="0" t="0" r="0" b="0"/>
            <wp:docPr id="24" name="图片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58"/>
                    <pic:cNvPicPr>
                      <a:picLocks noChangeAspect="1"/>
                    </pic:cNvPicPr>
                  </pic:nvPicPr>
                  <pic:blipFill>
                    <a:blip r:embed="rId18"/>
                    <a:stretch>
                      <a:fillRect/>
                    </a:stretch>
                  </pic:blipFill>
                  <pic:spPr>
                    <a:xfrm>
                      <a:off x="0" y="0"/>
                      <a:ext cx="7524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752475" cy="190500"/>
            <wp:effectExtent l="0" t="0" r="0" b="0"/>
            <wp:docPr id="20" name="图片 1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IMG_259"/>
                    <pic:cNvPicPr>
                      <a:picLocks noChangeAspect="1"/>
                    </pic:cNvPicPr>
                  </pic:nvPicPr>
                  <pic:blipFill>
                    <a:blip r:embed="rId19"/>
                    <a:stretch>
                      <a:fillRect/>
                    </a:stretch>
                  </pic:blipFill>
                  <pic:spPr>
                    <a:xfrm>
                      <a:off x="0" y="0"/>
                      <a:ext cx="7524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752475" cy="190500"/>
            <wp:effectExtent l="0" t="0" r="9525" b="0"/>
            <wp:docPr id="21" name="图片 1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IMG_260"/>
                    <pic:cNvPicPr>
                      <a:picLocks noChangeAspect="1"/>
                    </pic:cNvPicPr>
                  </pic:nvPicPr>
                  <pic:blipFill>
                    <a:blip r:embed="rId20"/>
                    <a:stretch>
                      <a:fillRect/>
                    </a:stretch>
                  </pic:blipFill>
                  <pic:spPr>
                    <a:xfrm>
                      <a:off x="0" y="0"/>
                      <a:ext cx="7524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838200" cy="190500"/>
            <wp:effectExtent l="0" t="0" r="0" b="0"/>
            <wp:docPr id="17" name="图片 1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61"/>
                    <pic:cNvPicPr>
                      <a:picLocks noChangeAspect="1"/>
                    </pic:cNvPicPr>
                  </pic:nvPicPr>
                  <pic:blipFill>
                    <a:blip r:embed="rId21"/>
                    <a:stretch>
                      <a:fillRect/>
                    </a:stretch>
                  </pic:blipFill>
                  <pic:spPr>
                    <a:xfrm>
                      <a:off x="0" y="0"/>
                      <a:ext cx="83820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”。该数列的后项与前项之差组成的新数列是比值为2的等比数列，符合“差等比数列”；</w:t>
      </w:r>
    </w:p>
    <w:p w14:paraId="41B52B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752475" cy="190500"/>
            <wp:effectExtent l="0" t="0" r="0" b="0"/>
            <wp:docPr id="18" name="图片 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62"/>
                    <pic:cNvPicPr>
                      <a:picLocks noChangeAspect="1"/>
                    </pic:cNvPicPr>
                  </pic:nvPicPr>
                  <pic:blipFill>
                    <a:blip r:embed="rId22"/>
                    <a:stretch>
                      <a:fillRect/>
                    </a:stretch>
                  </pic:blipFill>
                  <pic:spPr>
                    <a:xfrm>
                      <a:off x="0" y="0"/>
                      <a:ext cx="7524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838200" cy="190500"/>
            <wp:effectExtent l="0" t="0" r="0" b="0"/>
            <wp:docPr id="13" name="图片 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descr="IMG_263"/>
                    <pic:cNvPicPr>
                      <a:picLocks noChangeAspect="1"/>
                    </pic:cNvPicPr>
                  </pic:nvPicPr>
                  <pic:blipFill>
                    <a:blip r:embed="rId23"/>
                    <a:stretch>
                      <a:fillRect/>
                    </a:stretch>
                  </pic:blipFill>
                  <pic:spPr>
                    <a:xfrm>
                      <a:off x="0" y="0"/>
                      <a:ext cx="83820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923925" cy="190500"/>
            <wp:effectExtent l="0" t="0" r="0" b="0"/>
            <wp:docPr id="12" name="图片 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descr="IMG_264"/>
                    <pic:cNvPicPr>
                      <a:picLocks noChangeAspect="1"/>
                    </pic:cNvPicPr>
                  </pic:nvPicPr>
                  <pic:blipFill>
                    <a:blip r:embed="rId24"/>
                    <a:stretch>
                      <a:fillRect/>
                    </a:stretch>
                  </pic:blipFill>
                  <pic:spPr>
                    <a:xfrm>
                      <a:off x="0" y="0"/>
                      <a:ext cx="92392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190625" cy="190500"/>
            <wp:effectExtent l="0" t="0" r="0" b="0"/>
            <wp:docPr id="19" name="图片 2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descr="IMG_265"/>
                    <pic:cNvPicPr>
                      <a:picLocks noChangeAspect="1"/>
                    </pic:cNvPicPr>
                  </pic:nvPicPr>
                  <pic:blipFill>
                    <a:blip r:embed="rId25"/>
                    <a:stretch>
                      <a:fillRect/>
                    </a:stretch>
                  </pic:blipFill>
                  <pic:spPr>
                    <a:xfrm>
                      <a:off x="0" y="0"/>
                      <a:ext cx="119062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190625" cy="190500"/>
            <wp:effectExtent l="0" t="0" r="3175" b="0"/>
            <wp:docPr id="16" name="图片 2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descr="IMG_266"/>
                    <pic:cNvPicPr>
                      <a:picLocks noChangeAspect="1"/>
                    </pic:cNvPicPr>
                  </pic:nvPicPr>
                  <pic:blipFill>
                    <a:blip r:embed="rId26"/>
                    <a:stretch>
                      <a:fillRect/>
                    </a:stretch>
                  </pic:blipFill>
                  <pic:spPr>
                    <a:xfrm>
                      <a:off x="0" y="0"/>
                      <a:ext cx="119062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276350" cy="190500"/>
            <wp:effectExtent l="0" t="0" r="6350" b="0"/>
            <wp:docPr id="14" name="图片 2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descr="IMG_267"/>
                    <pic:cNvPicPr>
                      <a:picLocks noChangeAspect="1"/>
                    </pic:cNvPicPr>
                  </pic:nvPicPr>
                  <pic:blipFill>
                    <a:blip r:embed="rId27"/>
                    <a:stretch>
                      <a:fillRect/>
                    </a:stretch>
                  </pic:blipFill>
                  <pic:spPr>
                    <a:xfrm>
                      <a:off x="0" y="0"/>
                      <a:ext cx="127635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”，该数列的后项与前项之比组成的新数列是差值为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76225" cy="190500"/>
            <wp:effectExtent l="0" t="0" r="0" b="0"/>
            <wp:docPr id="15" name="图片 2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4" descr="IMG_268"/>
                    <pic:cNvPicPr>
                      <a:picLocks noChangeAspect="1"/>
                    </pic:cNvPicPr>
                  </pic:nvPicPr>
                  <pic:blipFill>
                    <a:blip r:embed="rId28"/>
                    <a:stretch>
                      <a:fillRect/>
                    </a:stretch>
                  </pic:blipFill>
                  <pic:spPr>
                    <a:xfrm>
                      <a:off x="0" y="0"/>
                      <a:ext cx="27622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的等差数列，符合“比等差数列”；</w:t>
      </w:r>
    </w:p>
    <w:p w14:paraId="4D12D38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综上所述，（1）属于差等比数列，（2）属于比等差数列，只有B项符合。</w:t>
      </w:r>
    </w:p>
    <w:p w14:paraId="6B37EC5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3281347A">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p>
    <w:p w14:paraId="040C1339">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64.A</w:t>
      </w:r>
    </w:p>
    <w:p w14:paraId="4B39A6C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0E178F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语义具指化：“语义原本具有普遍性、概括性，具指化后在言语中和特定的具体事物相联系”；</w:t>
      </w:r>
    </w:p>
    <w:p w14:paraId="2BEDE5C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语义空灵化：“语义原本内容清晰明确，但进入言语交际时语义内容空洞无物，只剩下词语的形式”；</w:t>
      </w:r>
    </w:p>
    <w:p w14:paraId="0337AF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动态性的语义扩大或缩小：“在言语交际时语义指称的范围扩大或缩小成小类或个体事物”；</w:t>
      </w:r>
    </w:p>
    <w:p w14:paraId="0A26384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动态性的语义转移：“在言语交际时语义临时改变”。</w:t>
      </w:r>
    </w:p>
    <w:p w14:paraId="349925B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5D8AD02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A项：“此去泉台招旧部，</w:t>
      </w:r>
      <w:r>
        <w:rPr>
          <w:rFonts w:hint="default" w:ascii="Segoe UI" w:hAnsi="Segoe UI" w:eastAsia="Segoe UI" w:cs="Segoe UI"/>
          <w:b/>
          <w:bCs/>
          <w:i w:val="0"/>
          <w:iCs w:val="0"/>
          <w:caps w:val="0"/>
          <w:color w:val="000000"/>
          <w:spacing w:val="0"/>
          <w:sz w:val="16"/>
          <w:szCs w:val="16"/>
          <w:shd w:val="clear" w:fill="FFFFFF"/>
        </w:rPr>
        <w:t>旌旗</w:t>
      </w:r>
      <w:r>
        <w:rPr>
          <w:rFonts w:hint="default" w:ascii="Segoe UI" w:hAnsi="Segoe UI" w:eastAsia="Segoe UI" w:cs="Segoe UI"/>
          <w:i w:val="0"/>
          <w:iCs w:val="0"/>
          <w:caps w:val="0"/>
          <w:color w:val="000000"/>
          <w:spacing w:val="0"/>
          <w:sz w:val="16"/>
          <w:szCs w:val="16"/>
          <w:shd w:val="clear" w:fill="FFFFFF"/>
        </w:rPr>
        <w:t>十万斩阎罗”的意思是这次到阴间去召集牺牲的同志，用十万大军杀死国民党反动派。“旌旗”原本指旗帜，也指军士，在“</w:t>
      </w:r>
      <w:r>
        <w:rPr>
          <w:rFonts w:hint="default" w:ascii="Segoe UI" w:hAnsi="Segoe UI" w:eastAsia="Segoe UI" w:cs="Segoe UI"/>
          <w:b/>
          <w:bCs/>
          <w:i w:val="0"/>
          <w:iCs w:val="0"/>
          <w:caps w:val="0"/>
          <w:color w:val="000000"/>
          <w:spacing w:val="0"/>
          <w:sz w:val="16"/>
          <w:szCs w:val="16"/>
          <w:shd w:val="clear" w:fill="FFFFFF"/>
        </w:rPr>
        <w:t>旌旗</w:t>
      </w:r>
      <w:r>
        <w:rPr>
          <w:rFonts w:hint="default" w:ascii="Segoe UI" w:hAnsi="Segoe UI" w:eastAsia="Segoe UI" w:cs="Segoe UI"/>
          <w:i w:val="0"/>
          <w:iCs w:val="0"/>
          <w:caps w:val="0"/>
          <w:color w:val="000000"/>
          <w:spacing w:val="0"/>
          <w:sz w:val="16"/>
          <w:szCs w:val="16"/>
          <w:shd w:val="clear" w:fill="FFFFFF"/>
        </w:rPr>
        <w:t>十万斩阎罗”中指的就是十万大军，指的就是广义的军士，并没有与特定的具体事物相联系，不符合“语义原本具有普遍性、概括性，具指化后在言语中和特定的具体事物相联系”，不符合（1）语义具指化，对应错误，当选；</w:t>
      </w:r>
    </w:p>
    <w:p w14:paraId="691927F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B项：“来</w:t>
      </w:r>
      <w:r>
        <w:rPr>
          <w:rFonts w:hint="default" w:ascii="Segoe UI" w:hAnsi="Segoe UI" w:eastAsia="Segoe UI" w:cs="Segoe UI"/>
          <w:b/>
          <w:bCs/>
          <w:i w:val="0"/>
          <w:iCs w:val="0"/>
          <w:caps w:val="0"/>
          <w:color w:val="000000"/>
          <w:spacing w:val="0"/>
          <w:sz w:val="16"/>
          <w:szCs w:val="16"/>
          <w:shd w:val="clear" w:fill="FFFFFF"/>
        </w:rPr>
        <w:t>他</w:t>
      </w:r>
      <w:r>
        <w:rPr>
          <w:rFonts w:hint="default" w:ascii="Segoe UI" w:hAnsi="Segoe UI" w:eastAsia="Segoe UI" w:cs="Segoe UI"/>
          <w:i w:val="0"/>
          <w:iCs w:val="0"/>
          <w:caps w:val="0"/>
          <w:color w:val="000000"/>
          <w:spacing w:val="0"/>
          <w:sz w:val="16"/>
          <w:szCs w:val="16"/>
          <w:shd w:val="clear" w:fill="FFFFFF"/>
        </w:rPr>
        <w:t>一碗汤”中“他”原本指别的事物或自己和对方以外的其他人，在“来</w:t>
      </w:r>
      <w:r>
        <w:rPr>
          <w:rFonts w:hint="default" w:ascii="Segoe UI" w:hAnsi="Segoe UI" w:eastAsia="Segoe UI" w:cs="Segoe UI"/>
          <w:b/>
          <w:bCs/>
          <w:i w:val="0"/>
          <w:iCs w:val="0"/>
          <w:caps w:val="0"/>
          <w:color w:val="000000"/>
          <w:spacing w:val="0"/>
          <w:sz w:val="16"/>
          <w:szCs w:val="16"/>
          <w:shd w:val="clear" w:fill="FFFFFF"/>
        </w:rPr>
        <w:t>他</w:t>
      </w:r>
      <w:r>
        <w:rPr>
          <w:rFonts w:hint="default" w:ascii="Segoe UI" w:hAnsi="Segoe UI" w:eastAsia="Segoe UI" w:cs="Segoe UI"/>
          <w:i w:val="0"/>
          <w:iCs w:val="0"/>
          <w:caps w:val="0"/>
          <w:color w:val="000000"/>
          <w:spacing w:val="0"/>
          <w:sz w:val="16"/>
          <w:szCs w:val="16"/>
          <w:shd w:val="clear" w:fill="FFFFFF"/>
        </w:rPr>
        <w:t>一碗汤”中“他”为虚指，语义内容空洞无物，只剩下词语的形式，符合“语义原本内容清晰明确，但进入言语交际时语义内容空洞无物，只剩下词语的形式”，符合（2）语义空灵化，对应正确，排除；</w:t>
      </w:r>
    </w:p>
    <w:p w14:paraId="4B84C08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C项：“我的手机没有</w:t>
      </w:r>
      <w:r>
        <w:rPr>
          <w:rFonts w:hint="default" w:ascii="Segoe UI" w:hAnsi="Segoe UI" w:eastAsia="Segoe UI" w:cs="Segoe UI"/>
          <w:b/>
          <w:bCs/>
          <w:i w:val="0"/>
          <w:iCs w:val="0"/>
          <w:caps w:val="0"/>
          <w:color w:val="000000"/>
          <w:spacing w:val="0"/>
          <w:sz w:val="16"/>
          <w:szCs w:val="16"/>
          <w:shd w:val="clear" w:fill="FFFFFF"/>
        </w:rPr>
        <w:t>网</w:t>
      </w:r>
      <w:r>
        <w:rPr>
          <w:rFonts w:hint="default" w:ascii="Segoe UI" w:hAnsi="Segoe UI" w:eastAsia="Segoe UI" w:cs="Segoe UI"/>
          <w:i w:val="0"/>
          <w:iCs w:val="0"/>
          <w:caps w:val="0"/>
          <w:color w:val="000000"/>
          <w:spacing w:val="0"/>
          <w:sz w:val="16"/>
          <w:szCs w:val="16"/>
          <w:shd w:val="clear" w:fill="FFFFFF"/>
        </w:rPr>
        <w:t>了”中“网”指网络，“网”可以指用于捕捉的工具、像网的东西、像网一样纵横交错的组织或系统、用网捕捉、像网似的笼罩着，这里使用的是其中一个语义“像网一样纵横交错的组织或系统”，也就是平常我们所说的上网、通信网，语义指称的范围发生了扩大或缩小成小类或个体事物，符合“在言语交际时语义指称的范围扩大或缩小成小类或个体事物”，符合（3）动态性的语义扩大或缩小，对应正确，排除；</w:t>
      </w:r>
    </w:p>
    <w:p w14:paraId="3042D16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D项：“有什么消息公开，别自个</w:t>
      </w:r>
      <w:r>
        <w:rPr>
          <w:rFonts w:hint="default" w:ascii="Segoe UI" w:hAnsi="Segoe UI" w:eastAsia="Segoe UI" w:cs="Segoe UI"/>
          <w:b/>
          <w:bCs/>
          <w:i w:val="0"/>
          <w:iCs w:val="0"/>
          <w:caps w:val="0"/>
          <w:color w:val="000000"/>
          <w:spacing w:val="0"/>
          <w:sz w:val="16"/>
          <w:szCs w:val="16"/>
          <w:shd w:val="clear" w:fill="FFFFFF"/>
        </w:rPr>
        <w:t>贪污</w:t>
      </w:r>
      <w:r>
        <w:rPr>
          <w:rFonts w:hint="default" w:ascii="Segoe UI" w:hAnsi="Segoe UI" w:eastAsia="Segoe UI" w:cs="Segoe UI"/>
          <w:i w:val="0"/>
          <w:iCs w:val="0"/>
          <w:caps w:val="0"/>
          <w:color w:val="000000"/>
          <w:spacing w:val="0"/>
          <w:sz w:val="16"/>
          <w:szCs w:val="16"/>
          <w:shd w:val="clear" w:fill="FFFFFF"/>
        </w:rPr>
        <w:t>了”中“贪污”指不告知别人消息，而“贪污”原本指国家工作人员利用职务上的便利，侵吞、窃取、骗取或者以其他手段非法占有国有财产的行为，在言语交际时“贪污”的语义临时改变，符合“在言语交际时语义临时改变”，符合（4）动态性的语义转移，对应正确，排除。</w:t>
      </w:r>
    </w:p>
    <w:p w14:paraId="40C3B5F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6CF0A796">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7027F0C4">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65.A</w:t>
      </w:r>
    </w:p>
    <w:p w14:paraId="0057237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29F2A9B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地质学：“研究地球的科学”；</w:t>
      </w:r>
    </w:p>
    <w:p w14:paraId="7BB817C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静力地质学：“主要研究地壳的物质组成，研究“元素-矿物-岩石”等物质分类连续系列的不同层次”；</w:t>
      </w:r>
    </w:p>
    <w:p w14:paraId="10C4C46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动力地质学：“主要研究地壳结构构造，地表形态的形成及其发展变化的地质作用的原理、机制、条件等”；</w:t>
      </w:r>
    </w:p>
    <w:p w14:paraId="5890CD2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历史地质学：“主要研究地壳和地球外三圈（水圈、大气圈、生物圈）的演化发展历史”。</w:t>
      </w:r>
    </w:p>
    <w:p w14:paraId="6306450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525724D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A项：人类活动和地质环境相互作用，符合环境地质学的研究范畴，不符合地质学上述三个分支学科的研究范畴，当选；</w:t>
      </w:r>
    </w:p>
    <w:p w14:paraId="12E3933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B项：自然界中生长的矿物晶体，符合“主要研究地壳的物质组成，研究“元素-矿物-岩石”等物质分类连续系列的不同层次”，符合“静力地质学”定义，排除；</w:t>
      </w:r>
    </w:p>
    <w:p w14:paraId="0171CE3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C项：古代气候形成、分布特征及变化，符合“主要研究地壳和地球外三圈（水圈、大气圈、生物圈）的演化发展历史”，符合“历史地质学”定义，排除；</w:t>
      </w:r>
    </w:p>
    <w:p w14:paraId="6E9786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D项：地球表面的形态特征及其形成的动力，符合“主要研究地壳结构构造，地表形态的形成及其发展变化的地质作用的原理、机制、条件等”，符合“动力地质学”定义，排除。</w:t>
      </w:r>
    </w:p>
    <w:p w14:paraId="200CC7F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2FB3E2BC">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1B6AB308">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66.A</w:t>
      </w:r>
    </w:p>
    <w:p w14:paraId="35613E1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3794645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院士是某些国家所设立的科学技术方面的最高学术称号，专家指在学术、技艺等方面有专门技能或专业知识全面的人，院士是专家，二者为种属关系。</w:t>
      </w:r>
    </w:p>
    <w:p w14:paraId="3FF0151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3E64A04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A项：将军是高级军事将领的统称，将军是军人，二者为种属关系，与题干逻辑关系一致，当选；</w:t>
      </w:r>
    </w:p>
    <w:p w14:paraId="5149D0B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B项：超车是开车过程中的一种行为，二者是对应关系，与题干逻辑关系不一致，排除；</w:t>
      </w:r>
    </w:p>
    <w:p w14:paraId="0C1E48B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C项：画展是一种展览，二者为种属关系，但与题干词语顺序相反，与题干逻辑关系不一致，排除；</w:t>
      </w:r>
    </w:p>
    <w:p w14:paraId="5199C1E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D项：游轮是用于搭载乘客从事旅行、参观、游览活动的客运机动船只，航母是以舰载机为主要战斗装备，并为其提供海上活动基地的大型水面战斗舰艇，二者是并列关系，与题干逻辑关系不一致，排除。</w:t>
      </w:r>
    </w:p>
    <w:p w14:paraId="4CD84C2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2F30E67D">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4F77C037">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67.B</w:t>
      </w:r>
    </w:p>
    <w:p w14:paraId="43F4D0D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4D244CE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柱子主要起到支撑的作用，二者为功能对应关系。</w:t>
      </w:r>
    </w:p>
    <w:p w14:paraId="17FC65F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4A5922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A项：扳手的主要作用是安装和拆卸，锤子的主要作用是敲打，二者没有明显的逻辑关系，与题干逻辑关系不一致，排除；</w:t>
      </w:r>
    </w:p>
    <w:p w14:paraId="2CDF80C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B项：炊具主要用来烹饪，二者为功能对应关系，与题干逻辑关系一致，当选；</w:t>
      </w:r>
    </w:p>
    <w:p w14:paraId="125BDC8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C项：曝光是指在摄影过程中进入镜头照射在感光元件上的光量，二者不是功能对应关系，与题干逻辑关系不一致，排除；</w:t>
      </w:r>
    </w:p>
    <w:p w14:paraId="6939AD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D项：在跑道上散步，二者为地点对应关系，且跑道主要用来跑步，与题干逻辑关系不一致，排除。</w:t>
      </w:r>
    </w:p>
    <w:p w14:paraId="5B2FEFC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1E916A0">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41D603E3">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68.A</w:t>
      </w:r>
    </w:p>
    <w:p w14:paraId="1F2D8BF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53884B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水果可以放在果篮里，二者为物品与放置地点的对应关系，果篮放在商店里，二者为物品与放置地点的对应关系。</w:t>
      </w:r>
    </w:p>
    <w:p w14:paraId="4D1AF76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5943401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A项：鲜花可以放在花瓶里，二者为物品与放置地点的对应关系，花瓶放在客厅里，二者为物品与放置地点的对应关系，与题干逻辑关系对应一致，当选；</w:t>
      </w:r>
    </w:p>
    <w:p w14:paraId="180FBDC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B项：香炉和香客是工具与使用者的对应关系，与题干逻辑关系不一致，排除；</w:t>
      </w:r>
    </w:p>
    <w:p w14:paraId="0B505C6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C项：抽屉与墙壁没有明显逻辑关系，与题干逻辑关系不一致，排除；</w:t>
      </w:r>
    </w:p>
    <w:p w14:paraId="5BFD34C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D项：蛋清和蛋壳都是鸡蛋的组成部分，二者为并列关系，分别和鸡蛋构成组成关系，与题干逻辑关系不一致，排除。</w:t>
      </w:r>
    </w:p>
    <w:p w14:paraId="17A5273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BED32F3">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16B4188C">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69.C</w:t>
      </w:r>
    </w:p>
    <w:p w14:paraId="507A930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5C91ECF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先量体，再裁剪，最后缝制，三者为时间先后的对应关系。</w:t>
      </w:r>
    </w:p>
    <w:p w14:paraId="15125F1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20F67AF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A项：装裱与欣赏之间无明显时间先后顺序，与题干逻辑关系不一致，排除；</w:t>
      </w:r>
    </w:p>
    <w:p w14:paraId="4EB6089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B项：先开户，再存钱或贷款，但存钱与贷款之间无明显时间先后顺序，与题干逻辑关系不一致，排除；</w:t>
      </w:r>
    </w:p>
    <w:p w14:paraId="54DFA7D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C项：先选材，再焖煮，最后上菜，三者为时间先后的对应关系，与题干逻辑关系一致，当选；</w:t>
      </w:r>
    </w:p>
    <w:p w14:paraId="186BEB4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D项：先测量，再镶嵌，二者为时间先后的对应关系，但词语顺序与题干不一致，排除。</w:t>
      </w:r>
    </w:p>
    <w:p w14:paraId="60E9F23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F7269B4">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38BC5FAB">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70.B</w:t>
      </w:r>
    </w:p>
    <w:p w14:paraId="3833ECC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37FDA5E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目不识丁指连最普通的“丁”字也不认识，形容一个字也不认得，博古通今指对古代的事知道得很多，并且通晓现代的事情，形容知识丰富，二者为反义关系；且都可以用来描述学识，与第一个词语为对应关系。</w:t>
      </w:r>
    </w:p>
    <w:p w14:paraId="78623AA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05C2410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A项：心旷神怡指心境开阔，精神愉快，心灰意冷指灰心失望，意志消沉，二者不是反义关系，且不能用来描述情感，与题干逻辑关系不一致，排除；</w:t>
      </w:r>
    </w:p>
    <w:p w14:paraId="184BE69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少不更事指年纪轻，没有经历过什么事情，形容经验不多，见多识广指见过的多，知道的广，形容阅历深，经验多，二者为反义关系；且都可以用来描述阅历，与第一个词语为对应关系，与题干逻辑关系一致，保留；</w:t>
      </w:r>
    </w:p>
    <w:p w14:paraId="0128B0C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C项：仪表堂堂形容人的容貌端正，其貌不扬形容人容貌难看，二者为反义关系；且都可以用来描述相貌，与第一个词语为对应关系，与题干逻辑关系一致，保留；</w:t>
      </w:r>
    </w:p>
    <w:p w14:paraId="2BB537A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D项：不劳而获比喻不劳动而得到成果，好逸恶劳指贪图安逸，厌恶劳动，二者为近义关系，与题干逻辑关系不一致，排除。</w:t>
      </w:r>
    </w:p>
    <w:p w14:paraId="152DF00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对比B、C项，题干与B项均是第二个词语为贬义词，第三个词语为褒义词，而C项第二个词语为褒义词，第三个词语为贬义词，B项与题干更一致。</w:t>
      </w:r>
    </w:p>
    <w:p w14:paraId="0CFBD4E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1C35E9EA">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59A74B24">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71.D</w:t>
      </w:r>
    </w:p>
    <w:p w14:paraId="10B4B60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0D3A0C2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融雪剂是指通过降低冰雪融化温度从而将冰雪融化的药剂，灭火器是用于灭火的工具，去污液是将污渍去除的溶液，三者都是根据功能命名，并且都具有消除某项事物的功能。</w:t>
      </w:r>
    </w:p>
    <w:p w14:paraId="5418DD6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6F3D8D7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漂白剂指将颜色去除或变淡的化学物品，防腐剂是能抑制微生物活动，防止食品腐败变质的一类食品添加剂，二者都是根据功能命名，但橡皮擦是擦去铅笔笔记的工具，不是根据功能命名，与题干逻辑关系不一致，排除；</w:t>
      </w:r>
    </w:p>
    <w:p w14:paraId="420FD35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润滑油是用在各种类型汽车、机械设备上以减少摩擦，保护机械及加工件的液体或半固体润滑剂，防蚊液是驱赶蚊虫、缓解蚊虫叮咬不适，并具有一定的提神醒脑、止痛和消暑作用的液体，隔离霜是对紫外线有隔离作用的护肤品，三者都是根据功能命名，但隔离霜不是具有消除某项事物的功能，与题干逻辑关系不一致，排除；</w:t>
      </w:r>
    </w:p>
    <w:p w14:paraId="25F9E35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C项：腐蚀剂是具有腐蚀作用的化学物质，玻璃水是汽车挡风玻璃清洗液，涂改液是涂在纸上以遮盖错字的文具，但玻璃水不是根据功能命名，与题干逻辑关系不一致，排除；</w:t>
      </w:r>
    </w:p>
    <w:p w14:paraId="5719F55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D项：杀虫药是杀死害虫的一种药剂，除臭剂是具强吸附性的、祛除臭味的物质，祛斑油是去除脸上色斑的精油，三者都是根据功能命名，并且都具有消除某项事物的功能，与题干逻辑关系一致，当选。</w:t>
      </w:r>
    </w:p>
    <w:p w14:paraId="1421D9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5B492A2A">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629580A6">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72.C</w:t>
      </w:r>
    </w:p>
    <w:p w14:paraId="11AD2E0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5849074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竹子是制作笛子的材料，二者为材料对应关系，竹子是制作筷子的材料，二者为材料对应关系。</w:t>
      </w:r>
    </w:p>
    <w:p w14:paraId="328336B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51C4D43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A项：柴油是由石油经过炼制得到的轻质石油产品，二者为材料对应关系，汽油是从石油里分馏、裂解出来的具有挥发性、可燃性的烃类混合物液体，二者为材料对应关系，与题干词语顺序相反排除；</w:t>
      </w:r>
    </w:p>
    <w:p w14:paraId="53A561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B项：橡胶是从橡胶树中提取的，与橡树无明显逻辑关系，橡胶是制作橡皮的材料，二者为材料对应关系，与题干逻辑关系不一致，排除；</w:t>
      </w:r>
    </w:p>
    <w:p w14:paraId="4915DA9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C项：木板是制作床板的原材料，二者为材料对应关系，木板是制作门板的原材料，二者为材料对应关系，与题干逻辑关系一致，当选；</w:t>
      </w:r>
    </w:p>
    <w:p w14:paraId="271EB0A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有的花布是棉布，有的花布不是棉布，有的棉布是花布，有的棉布不是花布，二者为交叉关系，有的花布是绸布，有的花布不是绸布，有的绸布是花布，有的绸布不是花布，二者为交叉关系，与题干逻辑关系不一致，排除。</w:t>
      </w:r>
    </w:p>
    <w:p w14:paraId="2043E5E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1CBF66CA">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3B5AE94F">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73.B</w:t>
      </w:r>
    </w:p>
    <w:p w14:paraId="324A457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4F8C1D3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罗盘和计程仪均是一种航海工具，二者为并列关系，且和航海工具均为种属关系。</w:t>
      </w:r>
    </w:p>
    <w:p w14:paraId="73BB3C2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05A869D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A项：吊车和安全帽多用于建筑工地，二者和建筑工地均为使用场景的对应关系，与题干逻辑关系不一致，排除；</w:t>
      </w:r>
    </w:p>
    <w:p w14:paraId="5BA6ACE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B项：钻机和取土器均是一种勘察设备，二者为并列关系，且和勘察设备均为种属关系，与题干逻辑关系一致，当选；</w:t>
      </w:r>
    </w:p>
    <w:p w14:paraId="0EF56B7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C项：陨石坑是火星探测活动的研究对象，二者是对应关系，与题干逻辑关系不一致，排除；</w:t>
      </w:r>
    </w:p>
    <w:p w14:paraId="180CC57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D项：干冰是一种催化剂，二者为种属关系，干冰是固态的二氧化碳，二者为对应关系，与题干逻辑关系不一致，排除。</w:t>
      </w:r>
    </w:p>
    <w:p w14:paraId="312BE53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1842529">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57145D6D">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74.D</w:t>
      </w:r>
    </w:p>
    <w:p w14:paraId="27D3B48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逐一代入选项。</w:t>
      </w:r>
    </w:p>
    <w:p w14:paraId="30ED4A7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A项：方言是语言的一种，二者为种属关系；商品经济促进了货币的产生，推动了货币的发展，货币同时也促进商品经济的发展，二者为相互作用的对应关系，前后逻辑关系不一致，排除；</w:t>
      </w:r>
    </w:p>
    <w:p w14:paraId="0931A39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B项：粤语是方言的一种，二者为种属关系；金属货币是货币的一种，二者为种属关系，前后逻辑关系一致，但是词语顺序相反，排除；</w:t>
      </w:r>
    </w:p>
    <w:p w14:paraId="4FCEEE5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C项：方言与符号无明显逻辑关系；货币的本质是一般等价物，二者为对应关系，前后逻辑关系一致，但是词语顺序相反，排除；</w:t>
      </w:r>
    </w:p>
    <w:p w14:paraId="519256B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D项：方言是地方文化的一种体现形式，二者是种属关系；数字货币是一种货币，二者是种属关系，前后逻辑关系一致，当选。</w:t>
      </w:r>
    </w:p>
    <w:p w14:paraId="35AFA0B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4FC7C189">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4A7DBF3B">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75.A</w:t>
      </w:r>
    </w:p>
    <w:p w14:paraId="28AAE4B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逐一代入选项。</w:t>
      </w:r>
    </w:p>
    <w:p w14:paraId="3924BD9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A项：粉笔和钢笔是不同的书写工具，二者为并列关系；橡胶和硅胶是不同的材料，二者为并列关系，前后逻辑关系一致，当选；</w:t>
      </w:r>
    </w:p>
    <w:p w14:paraId="4345F0B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B项：粉笔通常情况下是柱状的，二者为属性对应关系；硅胶通常情况下是固态的，二者为属性对应关系，前后逻辑关系一致，但是词语顺序相反，排除；</w:t>
      </w:r>
    </w:p>
    <w:p w14:paraId="7C283EA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C项：粉笔是一种文具，二者为种属关系；二氧化硅是硅胶的主要成分，二者为对应关系，前后逻辑关系不一致，排除；</w:t>
      </w:r>
    </w:p>
    <w:p w14:paraId="0D98E5E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石灰石可以是制作粉笔的原材料，二者为原材料与成品的对应关系；硅胶可以是制作硅胶厨具的原材料，硅胶厨具是厨房用具的一种，硅胶和厨房用具二者可以是原材料与成品的对应关系，但是粉笔是一种具体的物品，厨房用品是一类用品的统称，前后逻辑关系不是完全一致，排除。</w:t>
      </w:r>
    </w:p>
    <w:p w14:paraId="696692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517E75E">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7F3C116C">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76.D</w:t>
      </w:r>
    </w:p>
    <w:p w14:paraId="0B061B7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第一步：翻译题干。</w:t>
      </w:r>
    </w:p>
    <w:p w14:paraId="0201E09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①自觉意识到人所特有的道德需要是人之所以为人的重要原因</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9"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IMG_256"/>
                    <pic:cNvPicPr>
                      <a:picLocks noChangeAspect="1"/>
                    </pic:cNvPicPr>
                  </pic:nvPicPr>
                  <pic:blipFill>
                    <a:blip r:embed="rId2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为道德信仰的生成能提供内驱力</w:t>
      </w:r>
    </w:p>
    <w:p w14:paraId="2B03070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②体验到做人的尊严与幸福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0" name="图片 2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descr="IMG_257"/>
                    <pic:cNvPicPr>
                      <a:picLocks noChangeAspect="1"/>
                    </pic:cNvPicPr>
                  </pic:nvPicPr>
                  <pic:blipFill>
                    <a:blip r:embed="rId2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拥有道德的属性或获得道德认可</w:t>
      </w:r>
    </w:p>
    <w:p w14:paraId="296F402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③成为真正意义上的人且成为有作为和幸福的人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4" name="图片 2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descr="IMG_258"/>
                    <pic:cNvPicPr>
                      <a:picLocks noChangeAspect="1"/>
                    </pic:cNvPicPr>
                  </pic:nvPicPr>
                  <pic:blipFill>
                    <a:blip r:embed="rId2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道德</w:t>
      </w:r>
    </w:p>
    <w:p w14:paraId="2DEEEF6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23213E0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A项：翻译为：道德</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6" name="图片 2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descr="IMG_259"/>
                    <pic:cNvPicPr>
                      <a:picLocks noChangeAspect="1"/>
                    </pic:cNvPicPr>
                  </pic:nvPicPr>
                  <pic:blipFill>
                    <a:blip r:embed="rId2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成为真正意义上的人且成为有作为和幸福的人，是对③的肯后，肯后无法推出明确结论，无法推出，排除；</w:t>
      </w:r>
    </w:p>
    <w:p w14:paraId="467448D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B项：翻译为：成为真正意义上的人且成为有作为和幸福的人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8" name="图片 2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IMG_260"/>
                    <pic:cNvPicPr>
                      <a:picLocks noChangeAspect="1"/>
                    </pic:cNvPicPr>
                  </pic:nvPicPr>
                  <pic:blipFill>
                    <a:blip r:embed="rId2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可能没有道德，是对③的肯前，肯前必肯后，可以推出道德，但无法推出可能没有道德，排除；</w:t>
      </w:r>
    </w:p>
    <w:p w14:paraId="755826D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C项：翻译为：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5" name="图片 3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descr="IMG_261"/>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为道德信仰的生成能提供内驱力</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5" name="图片 3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1" descr="IMG_262"/>
                    <pic:cNvPicPr>
                      <a:picLocks noChangeAspect="1"/>
                    </pic:cNvPicPr>
                  </pic:nvPicPr>
                  <pic:blipFill>
                    <a:blip r:embed="rId2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27" name="图片 3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2" descr="IMG_263"/>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形成人所特有的道德需要，题干中并没有涉及二者之间的推出关系，无法推出，排除；</w:t>
      </w:r>
    </w:p>
    <w:p w14:paraId="55D3329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D项：翻译为：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3" name="图片 3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64"/>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获得道德认可且体验到做人的尊严与幸福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1" name="图片 3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4" descr="IMG_265"/>
                    <pic:cNvPicPr>
                      <a:picLocks noChangeAspect="1"/>
                    </pic:cNvPicPr>
                  </pic:nvPicPr>
                  <pic:blipFill>
                    <a:blip r:embed="rId2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拥有道德的属性，体验到做人的尊严与幸福是对②的肯前，肯前必肯后，可以推出拥有道德的属性或获得道德认可，</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2" name="图片 3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5" descr="IMG_266"/>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获得道德认可，根据或关系否一推一，可推出拥有道德的属性，可以推出，当选。</w:t>
      </w:r>
    </w:p>
    <w:p w14:paraId="07E992A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4EFFF9CD">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32DFB11B">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77.B</w:t>
      </w:r>
    </w:p>
    <w:p w14:paraId="33A744C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756AD02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论点：商家利用平台的算法工具，根据用户在社交媒体上的偏好，向用户推送产品信息的这种数据分析变相剥夺了消费者关注其他产品的机会。</w:t>
      </w:r>
    </w:p>
    <w:p w14:paraId="016446A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论据：无。</w:t>
      </w:r>
    </w:p>
    <w:p w14:paraId="4645AAB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题干当中只有论点，加强优先考虑补充论据。</w:t>
      </w:r>
    </w:p>
    <w:p w14:paraId="46826F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EEAADA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A项：选项说明大部分用户对“种草”商品是满意的，但并未提及大数据算法分析对消费者的影响，无关选项，不能加强，排除；</w:t>
      </w:r>
    </w:p>
    <w:p w14:paraId="4901A0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B项：选项说明推送的广告信息会吸引消费者的注意力，说明这种数据分析会通过吸引注意力的方式使得消费者失去关注其他产品的机会，补充论据，可以加强，当选；</w:t>
      </w:r>
    </w:p>
    <w:p w14:paraId="5F896B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C项：题干讨论的是平台使用算法工具后对消费者的影响，选项讨论的是不使用算法工具消费者会如何消费的问题，话题不一致，不能加强，排除；</w:t>
      </w:r>
    </w:p>
    <w:p w14:paraId="028EAD9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D项：选项说明怎样才能避开大数据的支配，为对策类选项，并未说明这种数据分析是否会剥夺消费者关注其他产品的机会，不能加强，排除。</w:t>
      </w:r>
    </w:p>
    <w:p w14:paraId="232B2C3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187E67D9">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50A49086">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78.A</w:t>
      </w:r>
    </w:p>
    <w:p w14:paraId="65F444F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6C8E534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论点：H国科研产出停滞和倒退的根源在于科研人员质量的下降。</w:t>
      </w:r>
    </w:p>
    <w:p w14:paraId="1D67063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自2005年以来，该国攻读硕士和博士课程的学生人数就一直停滞不前或下降。追溯到更早的教育阶段，该国攻读理工科的大学生人数在20世纪90年代后期达到顶峰并呈下降趋势，近年来已比其峰值水平低约15%。出现这种趋势的原因，则在于该国在90年代后期为减轻学生学业负担，实施了减少初中理科课时的教学改革。</w:t>
      </w:r>
    </w:p>
    <w:p w14:paraId="4E2E638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56C6FA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A项：该项说明H国的科研人员的科研产出和花费在科研上的时间都减少了，与科研产出停滞和倒退是否因为科研人员质量的下降无关，不能支持，当选；</w:t>
      </w:r>
    </w:p>
    <w:p w14:paraId="2B460B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B项：该项说明H国教学改革后接受初中教育的人申请专利数量明显低于改革前受教育的人，通过改革前后接受教育的人申请专利数量的对比，证明教学改革会影响科研人员质量，补充论据，可以支持，排除；</w:t>
      </w:r>
    </w:p>
    <w:p w14:paraId="682E136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C项：该项说明H国能申请到奖学金的博士生数量和其在读期间发表的论文数量都下降，证明H国确实存在科研人员质量下降的问题，且已经导致科研产出的停滞和倒退，补充论据，可以支持，排除；</w:t>
      </w:r>
    </w:p>
    <w:p w14:paraId="0596E1A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D项：该项说明初中阶段减少理科课时最终会影响未来的科研能力，证明教学改革会影响科研人员质量，补充论据，可以支持，排除。</w:t>
      </w:r>
    </w:p>
    <w:p w14:paraId="420E214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6739967A">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66637421">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79.D</w:t>
      </w:r>
    </w:p>
    <w:p w14:paraId="42C69F1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第一步：找出题干矛盾。</w:t>
      </w:r>
    </w:p>
    <w:p w14:paraId="1F2CD44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2001年，科学家首次发现了鳞角腹足蜗牛，目前只被发现生活在印度洋的三处深海热液喷口，生存面积相当于两个足球场。然而，直到2019年7月，世界自然保护联盟才突然宣布，鳞角腹足蜗牛进入濒危物种名单。</w:t>
      </w:r>
    </w:p>
    <w:p w14:paraId="1EB4822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1898E1C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A项：选项说明热液口喷出的液体对生物体具有毒性，只能证明鳞角腹足蜗牛的生存环境恶劣，无法解释为什么2001年发现了鳞角腹足蜗牛但2019年才将其纳入濒危物种名单，不能解释题干矛盾，排除；</w:t>
      </w:r>
    </w:p>
    <w:p w14:paraId="19EE039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选项说明现存物种中只有鳞角腹足蜗牛能够利用铁的硫化物形成磁性保护壳，体现了鳞角腹足蜗牛的独特性，无法解释为什么2001年发现了鳞角腹足蜗牛但2019年才将其纳入濒危物种名单，不能解释题干矛盾，排除；</w:t>
      </w:r>
    </w:p>
    <w:p w14:paraId="48DA54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C项：选项说的是鳞角腹足蜗牛的铁质鳞片的作用，无法解释为什么2001年发现了鳞角腹足蜗牛但2019年才将其纳入濒危物种名单，不能解释题干矛盾，排除；</w:t>
      </w:r>
    </w:p>
    <w:p w14:paraId="5DE26A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D项：选项说明发现鳞角腹足蜗牛的三处热液喷口中有两处正面临着深海采矿活动，会对其带来潜在威胁，证明鳞角腹足蜗牛正面临更加严峻的生存挑战，需要进一步的保护，可以解释题干矛盾，当选。</w:t>
      </w:r>
    </w:p>
    <w:p w14:paraId="5404C1D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EA869D8">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6AD35021">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80.B</w:t>
      </w:r>
    </w:p>
    <w:p w14:paraId="61D7949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4393765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论点：在38亿年前的早期地球，真核生物是无法存活的。</w:t>
      </w:r>
    </w:p>
    <w:p w14:paraId="7C7D07D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论据：38亿年前，地球火山活动频繁，构造运动强烈。原始海洋处于高温甚至沸腾的状态，原始大气充斥着甲烷、硫化氢、二氧化碳等物质，极度缺乏氧气，真核生物需要进行有丝分裂才能繁衍生存。</w:t>
      </w:r>
    </w:p>
    <w:p w14:paraId="07AA58F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论点讨论的是38亿年前真核生物无法存活，论据讨论的是38亿年前地球极度缺乏氧气以及真核生物需要进行有丝分裂才能繁衍生存，话题不一致，加强优先考虑搭桥。</w:t>
      </w:r>
    </w:p>
    <w:p w14:paraId="7505278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C1FE34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A项：该项说明真核生物是地球物种的祖先，与38亿年前的早期地球真核生物能否生存无关，不是论证需要补充的前提，排除；</w:t>
      </w:r>
    </w:p>
    <w:p w14:paraId="38D24A0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说明真核生物进行的有丝分裂是需氧过程，结合论据指出的38亿年前的地球极度缺乏氧气以及真核生物需要进行有丝分裂才能繁衍生存，可以得出真核生物无法进行有丝分裂，无法存活，搭桥，可以支持，当选；</w:t>
      </w:r>
    </w:p>
    <w:p w14:paraId="446AA91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C项：该项说明所有的真核生物都必须通过有丝分裂繁衍生息，但无法证明有丝分裂是否需要氧气，真核生物能否在无氧环境下存活，不是论证需要补充的前提，排除；</w:t>
      </w:r>
    </w:p>
    <w:p w14:paraId="14E6394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D项：该项说明火山活动频繁使得当时地球上的氧气不可能充足，只说了38亿年前地球极度缺乏氧气的原因，未提及真核生物能否在无氧环境下存活，不是论证需要补充的前提，排除。</w:t>
      </w:r>
    </w:p>
    <w:p w14:paraId="41CB1D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98E30E5">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06010812">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81.C</w:t>
      </w:r>
    </w:p>
    <w:p w14:paraId="1BBC2A6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51598E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论点：科学研究应采用一门全球通用的语言以解决语言障碍问题，最终促进科学研究的发展。</w:t>
      </w:r>
    </w:p>
    <w:p w14:paraId="158168D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论据：在整个科学研究和学术探讨领域，语言障碍造成的负面影响巨大。</w:t>
      </w:r>
    </w:p>
    <w:p w14:paraId="4D28C9E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论点和论据都在讨论语言对于科学研究的影响，话题一致优先考虑否定论点，即“科学研究无需采用一门全球通用的语言来促进科学研究的发展”。</w:t>
      </w:r>
    </w:p>
    <w:p w14:paraId="3A39E35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5077B81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A项：该项说明19世纪欧洲学术界曾经存在过三大语言并存的局面，与科学研究是否采用一门全球通用语言无关，无法削弱，排除；</w:t>
      </w:r>
    </w:p>
    <w:p w14:paraId="51A3E71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B项：该项说明一些科学家为顺利发表科研成果而只能与其他研究者合作或雇佣翻译人员，即语言的统一对于发表科研成果是重要的，可以加强论点，排除；</w:t>
      </w:r>
    </w:p>
    <w:p w14:paraId="047F735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C项：该项说明现阶段科学研究中科学家最好采用各自的母语才能表述的更准确，即无需采用一门全球通用的语言来促进科学研究的发展，否定论点，当选；</w:t>
      </w:r>
    </w:p>
    <w:p w14:paraId="7E337FA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D项：该项说明大量研究成果的原意在翻译过程中易被曲解，甚至很多成果从未被翻译过，即语言的统一对于发表科研成果是重要的，可以加强论点，排除。</w:t>
      </w:r>
    </w:p>
    <w:p w14:paraId="084C21A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4AB3D039">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0F6F1CD4">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82.A</w:t>
      </w:r>
    </w:p>
    <w:p w14:paraId="50EA26F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第一步：分析题干。</w:t>
      </w:r>
    </w:p>
    <w:p w14:paraId="254CCED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（1）凤、鹿、龟、雀、象、龙；</w:t>
      </w:r>
    </w:p>
    <w:p w14:paraId="20D84FF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（2）龟、象、龙、雀、凤、鹿；</w:t>
      </w:r>
    </w:p>
    <w:p w14:paraId="62557C2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（3）象、鹿、凤、龙、雀、龟。</w:t>
      </w:r>
    </w:p>
    <w:p w14:paraId="64C0DAE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（1）中朝代顺序完全错误，（2）和（3）中都对了一半。</w:t>
      </w:r>
    </w:p>
    <w:p w14:paraId="2FEF200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第二步：根据题干条件进行推理。</w:t>
      </w:r>
    </w:p>
    <w:p w14:paraId="4D4EF9A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和（3）中对于6个朝代顺序的观点完全不一致，而且（2）和（3）中都对了一半，即一共对了6个，所以（2）对的3个和（3）对的3个一定是没有交叉的，因此对于任意一个顺序，（2）和（3）一定是一对一错的。</w:t>
      </w:r>
    </w:p>
    <w:p w14:paraId="45AFFE5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1）全错，可知第二个顺序排鹿是错的，（3）中第二个顺序的朝代和（1）一致，那么（3）中第二个顺序的朝代也是错的，因此，第二个顺序的朝代（2）的观点是对的，即第二个顺序应该是象，由此可知，（3）中第一个顺序放象是错的，则第一个顺序的朝代（2）的观点是对的，第一个顺序应该是龟，所以（3）的第六个顺序放龟是错的，则第六个顺序的朝代（2）的观点是对的，即第六个顺序是鹿，到目前（2）对的朝代顺序已经有三个，则剩下的第三、四、五个顺序应该是（3）猜测正确，只有A选项符合要求。</w:t>
      </w:r>
    </w:p>
    <w:p w14:paraId="3EFC7D1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5274310" cy="708025"/>
            <wp:effectExtent l="0" t="0" r="8890" b="3175"/>
            <wp:docPr id="36"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256"/>
                    <pic:cNvPicPr>
                      <a:picLocks noChangeAspect="1"/>
                    </pic:cNvPicPr>
                  </pic:nvPicPr>
                  <pic:blipFill>
                    <a:blip r:embed="rId31"/>
                    <a:stretch>
                      <a:fillRect/>
                    </a:stretch>
                  </pic:blipFill>
                  <pic:spPr>
                    <a:xfrm>
                      <a:off x="0" y="0"/>
                      <a:ext cx="5274310" cy="708025"/>
                    </a:xfrm>
                    <a:prstGeom prst="rect">
                      <a:avLst/>
                    </a:prstGeom>
                    <a:noFill/>
                    <a:ln w="9525">
                      <a:noFill/>
                    </a:ln>
                  </pic:spPr>
                </pic:pic>
              </a:graphicData>
            </a:graphic>
          </wp:inline>
        </w:drawing>
      </w:r>
    </w:p>
    <w:p w14:paraId="226B52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479204E">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20B8EA3E">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83.C</w:t>
      </w:r>
    </w:p>
    <w:p w14:paraId="7655B45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第一步：分析论点和论据。</w:t>
      </w:r>
    </w:p>
    <w:p w14:paraId="4E38162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赵教授论点：AI生成物的著作权应当属于AI使用者。</w:t>
      </w:r>
    </w:p>
    <w:p w14:paraId="7732E29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赵教授论据：实施了创作行为的自然人是原本意义上的著作权主体。AI生成物是使用者实施创作行为形成的作品，作为一般规则，使用者基于创作事实成为作者，取得作品著作权。</w:t>
      </w:r>
    </w:p>
    <w:p w14:paraId="3B3AFF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钱研究员论点：不同意赵教授的观点。</w:t>
      </w:r>
    </w:p>
    <w:p w14:paraId="44D0D4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钱研究员论据：只有作品才有著作权的归属问题，作品应当是人类的智力成果，也只有人的智力活动才能被称为创作。AI生成物并非人类作者的智力成果，本就不属于作品，何来著作权归属问题？</w:t>
      </w:r>
    </w:p>
    <w:p w14:paraId="526D981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574FB76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A项：赵教授和钱研究员都是在讨论AI生成物的著作权归属问题，所以钱研究员并没有转移论题，排除；</w:t>
      </w:r>
    </w:p>
    <w:p w14:paraId="0B57B67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B项：钱研究员的反驳方式是认为AI生成物不是作品，也就不存在著作权归属问题，他并没有直接否定赵教授的论点，排除；</w:t>
      </w:r>
    </w:p>
    <w:p w14:paraId="672BD49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C项：赵教授的论点是基于AI生成物是作品，是有著作权这一论据的，钱研究员正是对这一论据进行了反驳，他认为AI生成物不是作品，没有著作权归属的问题，是反驳了对方观点赖以成立的论据，当选；</w:t>
      </w:r>
    </w:p>
    <w:p w14:paraId="339CFF8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D项：钱研究员只是反驳了赵教授所持观点所基于的论据，即AI生成物是有著作权这一前提，并没有指出对方的论据并不足以支持其论点，排除。</w:t>
      </w:r>
    </w:p>
    <w:p w14:paraId="353D4F0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B34A078">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3BE16791">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84.D</w:t>
      </w:r>
    </w:p>
    <w:p w14:paraId="0B699AD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第一步：分析论点和论据。</w:t>
      </w:r>
    </w:p>
    <w:p w14:paraId="6B95693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李工程师论点：AI生成物的著作权应当属于AI开发者。</w:t>
      </w:r>
    </w:p>
    <w:p w14:paraId="3E3B7CA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李工程师论据：因为AI开发者负责设计和开发智能系统的算法和模型，这需要其具备机器学习、深度学习和自然语言处理等领域的知识，还需要与他人合作，比如与产品经理合作确定需求、与软件工程师合作实现系统功能等。</w:t>
      </w:r>
    </w:p>
    <w:p w14:paraId="164581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11A2E2E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A项：李工程师的论证并不需要对某些关键概念做出明确解释，不是其论证中存在的问题，排除；</w:t>
      </w:r>
    </w:p>
    <w:p w14:paraId="0876246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B项：李工程师明确提出AI生成物的著作权应当属于AI开发者，对著作权的归属问题作出了正面回答，不是其论证中存在的问题，排除；</w:t>
      </w:r>
    </w:p>
    <w:p w14:paraId="037F672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C项：李工程师只是阐述了AI开发者的工作内容和所需知识，并不明确是否夸大了AI开发者在AI设计开发工作中作出的贡献，排除；</w:t>
      </w:r>
    </w:p>
    <w:p w14:paraId="736B23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李工程师的论证，是根据AI开发者在AI设计和开发中的职责，推断出AI生成物的著作权应归AI开发者所有，这是一个逻辑上的混淆，AI开发者的职责，并不能直接决定AI生成物的著作权归属，该项指出了李工程师论证中存在的问题。</w:t>
      </w:r>
    </w:p>
    <w:p w14:paraId="4DBA3B9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006AA63">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7B13BA3C">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85.B</w:t>
      </w:r>
    </w:p>
    <w:p w14:paraId="2A735DA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第一步，分析题干逻辑错误。</w:t>
      </w:r>
    </w:p>
    <w:p w14:paraId="5292434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孙博士证明AI生成物的主体付出劳动没有著作权，是依据楼房施工的主体付出劳动没有所有权，是通过两个对象本质不同，因具有某些相同或相似的性质，推断它们在其他性质上也相同或相似，该论证犯了不当类比的逻辑错误。</w:t>
      </w:r>
    </w:p>
    <w:p w14:paraId="65797E5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5AC3248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A项：该项通过AI生成付出创造性流动的主体不止一个，反问这些人是否都应当获得AI生成的著作权，论证过程是由主体数量推出主体应有的权利，犯了转移话题的逻辑错误，与孙博士观点论证方式不同，排除；</w:t>
      </w:r>
    </w:p>
    <w:p w14:paraId="435F6ED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B项：该项证明付出创造性劳动能够获得AI生成物的著作权，是依据辛勤耕作的农民享有农作物的收获，犯了不当类比的错误，且与孙博士的观点相反，当选；</w:t>
      </w:r>
    </w:p>
    <w:p w14:paraId="6736806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通过国家颁布了很多法律法规来规范小说电影著作权的归属，从而认为也应该通过颁布法律法规来规范AI生成的著作权，犯了不当类比的错误，但与著作权归属于谁这个话题无关，并未与孙博士观点相反，排除；</w:t>
      </w:r>
    </w:p>
    <w:p w14:paraId="1ED5A33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通过其他著作权拥有者都应付出创造性劳动获得著作权，反问AI生成物付出的创造性劳动的主体为何不能获得著作权，其他著作权与AI生成物的著作权本质为同一范畴，并未犯不当类比的逻辑错误，与孙博士观点论证方式不同，排除。</w:t>
      </w:r>
    </w:p>
    <w:p w14:paraId="26616A6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2D4E1CB">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67AD9854">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86.C</w:t>
      </w:r>
    </w:p>
    <w:p w14:paraId="0E86BDC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根据题干“2023年，······占······”，结合材料时间，可判定本题为现期比重问题。定位统计表可知，2023年全国及各省级行政区的茶园面积。根据公式：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876425" cy="219075"/>
            <wp:effectExtent l="0" t="0" r="0" b="10160"/>
            <wp:docPr id="38"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IMG_256"/>
                    <pic:cNvPicPr>
                      <a:picLocks noChangeAspect="1"/>
                    </pic:cNvPicPr>
                  </pic:nvPicPr>
                  <pic:blipFill>
                    <a:blip r:embed="rId32"/>
                    <a:stretch>
                      <a:fillRect/>
                    </a:stretch>
                  </pic:blipFill>
                  <pic:spPr>
                    <a:xfrm>
                      <a:off x="0" y="0"/>
                      <a:ext cx="1876425"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，可得2023年，全国茶园面积的5%为：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686050" cy="209550"/>
            <wp:effectExtent l="0" t="0" r="6350" b="0"/>
            <wp:docPr id="37" name="图片 3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IMG_257"/>
                    <pic:cNvPicPr>
                      <a:picLocks noChangeAspect="1"/>
                    </pic:cNvPicPr>
                  </pic:nvPicPr>
                  <pic:blipFill>
                    <a:blip r:embed="rId33"/>
                    <a:stretch>
                      <a:fillRect/>
                    </a:stretch>
                  </pic:blipFill>
                  <pic:spPr>
                    <a:xfrm>
                      <a:off x="0" y="0"/>
                      <a:ext cx="26860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万亩，观察表格数据，超过257.5万亩的省级行政区有：浙江、安徽、福建、湖北、湖南、四川、贵州、云南，共8个。</w:t>
      </w:r>
    </w:p>
    <w:p w14:paraId="1DAA4D2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1E66ABA">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44E5B1CF">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87.B</w:t>
      </w:r>
    </w:p>
    <w:p w14:paraId="3EF6BA8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2022年，······单位面积茶园干毛茶产量······”，结合材料给出2022年数据，可判定本题为现期平均数问题。定位统计表可知：2022年湖北、湖南、安徽、江西的茶园面积及干毛茶产量。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19325" cy="457200"/>
            <wp:effectExtent l="0" t="0" r="0" b="0"/>
            <wp:docPr id="39"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256"/>
                    <pic:cNvPicPr>
                      <a:picLocks noChangeAspect="1"/>
                    </pic:cNvPicPr>
                  </pic:nvPicPr>
                  <pic:blipFill>
                    <a:blip r:embed="rId34"/>
                    <a:stretch>
                      <a:fillRect/>
                    </a:stretch>
                  </pic:blipFill>
                  <pic:spPr>
                    <a:xfrm>
                      <a:off x="0" y="0"/>
                      <a:ext cx="2219325"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，可得2022年四个省级行政区平均每单位面积茶园干毛茶产量分别为：</w:t>
      </w:r>
    </w:p>
    <w:p w14:paraId="3F02B4C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湖北：</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857375" cy="409575"/>
            <wp:effectExtent l="0" t="0" r="9525" b="9525"/>
            <wp:docPr id="43" name="图片 4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0" descr="IMG_257"/>
                    <pic:cNvPicPr>
                      <a:picLocks noChangeAspect="1"/>
                    </pic:cNvPicPr>
                  </pic:nvPicPr>
                  <pic:blipFill>
                    <a:blip r:embed="rId35"/>
                    <a:stretch>
                      <a:fillRect/>
                    </a:stretch>
                  </pic:blipFill>
                  <pic:spPr>
                    <a:xfrm>
                      <a:off x="0" y="0"/>
                      <a:ext cx="1857375"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吨/亩；</w:t>
      </w:r>
    </w:p>
    <w:p w14:paraId="1E14C56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湖南：</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857375" cy="409575"/>
            <wp:effectExtent l="0" t="0" r="9525" b="9525"/>
            <wp:docPr id="41" name="图片 4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G_258"/>
                    <pic:cNvPicPr>
                      <a:picLocks noChangeAspect="1"/>
                    </pic:cNvPicPr>
                  </pic:nvPicPr>
                  <pic:blipFill>
                    <a:blip r:embed="rId36"/>
                    <a:stretch>
                      <a:fillRect/>
                    </a:stretch>
                  </pic:blipFill>
                  <pic:spPr>
                    <a:xfrm>
                      <a:off x="0" y="0"/>
                      <a:ext cx="1857375"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吨/亩；</w:t>
      </w:r>
    </w:p>
    <w:p w14:paraId="00ADC67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安徽：</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857375" cy="409575"/>
            <wp:effectExtent l="0" t="0" r="9525" b="9525"/>
            <wp:docPr id="42" name="图片 4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59"/>
                    <pic:cNvPicPr>
                      <a:picLocks noChangeAspect="1"/>
                    </pic:cNvPicPr>
                  </pic:nvPicPr>
                  <pic:blipFill>
                    <a:blip r:embed="rId37"/>
                    <a:stretch>
                      <a:fillRect/>
                    </a:stretch>
                  </pic:blipFill>
                  <pic:spPr>
                    <a:xfrm>
                      <a:off x="0" y="0"/>
                      <a:ext cx="1857375"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吨/亩；</w:t>
      </w:r>
    </w:p>
    <w:p w14:paraId="7C0C079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江西：</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771650" cy="409575"/>
            <wp:effectExtent l="0" t="0" r="6350" b="9525"/>
            <wp:docPr id="40" name="图片 4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3" descr="IMG_260"/>
                    <pic:cNvPicPr>
                      <a:picLocks noChangeAspect="1"/>
                    </pic:cNvPicPr>
                  </pic:nvPicPr>
                  <pic:blipFill>
                    <a:blip r:embed="rId38"/>
                    <a:stretch>
                      <a:fillRect/>
                    </a:stretch>
                  </pic:blipFill>
                  <pic:spPr>
                    <a:xfrm>
                      <a:off x="0" y="0"/>
                      <a:ext cx="1771650"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吨/亩。</w:t>
      </w:r>
    </w:p>
    <w:p w14:paraId="2B5DBB7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比较可知，平均每单位面积干毛茶产量最高的是湖南。</w:t>
      </w:r>
    </w:p>
    <w:p w14:paraId="7F00929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6C7F7841">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4F377E42">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88.C</w:t>
      </w:r>
    </w:p>
    <w:p w14:paraId="648D336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2023年，······占比为······”，结合材料给出2023年数据，可判定本题为现期比重问题。定位统计表可知，2023年与2022年各省级行政区的干毛茶产量。观察表格数据，2023年干毛茶产量超过10万吨的省级行政区有浙江、安徽、福建、河南、湖北、湖南、广东、广西、四川、贵州、云南、陕西，共计12个，这12个省级行政区中只有广西2023年的干毛茶产量低于2022年，即2023年的干毛茶产量高于2022年的省级行政区有11个。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190625" cy="457200"/>
            <wp:effectExtent l="0" t="0" r="3175" b="0"/>
            <wp:docPr id="45"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IMG_256"/>
                    <pic:cNvPicPr>
                      <a:picLocks noChangeAspect="1"/>
                    </pic:cNvPicPr>
                  </pic:nvPicPr>
                  <pic:blipFill>
                    <a:blip r:embed="rId39"/>
                    <a:stretch>
                      <a:fillRect/>
                    </a:stretch>
                  </pic:blipFill>
                  <pic:spPr>
                    <a:xfrm>
                      <a:off x="0" y="0"/>
                      <a:ext cx="1190625"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，可得所求</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000125" cy="409575"/>
            <wp:effectExtent l="0" t="0" r="3175" b="9525"/>
            <wp:docPr id="44" name="图片 4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5" descr="IMG_257"/>
                    <pic:cNvPicPr>
                      <a:picLocks noChangeAspect="1"/>
                    </pic:cNvPicPr>
                  </pic:nvPicPr>
                  <pic:blipFill>
                    <a:blip r:embed="rId40"/>
                    <a:stretch>
                      <a:fillRect/>
                    </a:stretch>
                  </pic:blipFill>
                  <pic:spPr>
                    <a:xfrm>
                      <a:off x="0" y="0"/>
                      <a:ext cx="1000125"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，在C项范围内。</w:t>
      </w:r>
    </w:p>
    <w:p w14:paraId="662FA65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61F6F471">
      <w:pPr>
        <w:pStyle w:val="3"/>
        <w:keepNext w:val="0"/>
        <w:keepLines w:val="0"/>
        <w:widowControl/>
        <w:suppressLineNumbers w:val="0"/>
        <w:spacing w:before="0" w:beforeAutospacing="0" w:after="0" w:afterAutospacing="0" w:line="340" w:lineRule="atLeast"/>
        <w:ind w:left="0" w:right="0"/>
        <w:rPr>
          <w:rFonts w:hint="default"/>
          <w:sz w:val="16"/>
          <w:szCs w:val="16"/>
          <w:lang w:val="en-US" w:eastAsia="zh-CN"/>
        </w:rPr>
      </w:pPr>
    </w:p>
    <w:p w14:paraId="7D04D60C">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hint="eastAsia"/>
          <w:sz w:val="16"/>
          <w:szCs w:val="16"/>
          <w:lang w:val="en-US" w:eastAsia="zh-CN"/>
        </w:rPr>
        <w:t>89.A</w:t>
      </w:r>
    </w:p>
    <w:p w14:paraId="1943CC39">
      <w:pPr>
        <w:pStyle w:val="3"/>
        <w:keepNext w:val="0"/>
        <w:keepLines w:val="0"/>
        <w:widowControl/>
        <w:suppressLineNumbers w:val="0"/>
        <w:spacing w:before="0" w:beforeAutospacing="0" w:after="0" w:afterAutospacing="0" w:line="340" w:lineRule="atLeast"/>
        <w:ind w:left="0" w:right="0"/>
        <w:rPr>
          <w:rFonts w:hint="eastAsia"/>
          <w:sz w:val="16"/>
          <w:szCs w:val="16"/>
          <w:lang w:val="en-US" w:eastAsia="zh-CN"/>
        </w:rPr>
      </w:pPr>
      <w:r>
        <w:rPr>
          <w:rFonts w:ascii="Segoe UI" w:hAnsi="Segoe UI" w:eastAsia="Segoe UI" w:cs="Segoe UI"/>
          <w:i w:val="0"/>
          <w:iCs w:val="0"/>
          <w:caps w:val="0"/>
          <w:color w:val="000000"/>
          <w:spacing w:val="0"/>
          <w:sz w:val="16"/>
          <w:szCs w:val="16"/>
          <w:shd w:val="clear" w:fill="FFFFFF"/>
        </w:rPr>
        <w:t>根据题干“······2024年······产量将在以下哪个范围内”，结合材料时间为2022年及2023年，可判定本题为现期计算问题。定位统计表可知云南、贵州、四川、重庆四省市2022年及2023年干毛茶产量。则2023年四省市的同比增量分别为：</w:t>
      </w:r>
    </w:p>
    <w:p w14:paraId="2C6814F7">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73040" cy="3013075"/>
            <wp:effectExtent l="0" t="0" r="1016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41"/>
                    <a:stretch>
                      <a:fillRect/>
                    </a:stretch>
                  </pic:blipFill>
                  <pic:spPr>
                    <a:xfrm>
                      <a:off x="0" y="0"/>
                      <a:ext cx="5273040" cy="3013075"/>
                    </a:xfrm>
                    <a:prstGeom prst="rect">
                      <a:avLst/>
                    </a:prstGeom>
                    <a:noFill/>
                    <a:ln>
                      <a:noFill/>
                    </a:ln>
                  </pic:spPr>
                </pic:pic>
              </a:graphicData>
            </a:graphic>
          </wp:inline>
        </w:drawing>
      </w:r>
    </w:p>
    <w:p w14:paraId="71071025">
      <w:pPr>
        <w:pStyle w:val="3"/>
        <w:keepNext w:val="0"/>
        <w:keepLines w:val="0"/>
        <w:widowControl/>
        <w:suppressLineNumbers w:val="0"/>
        <w:spacing w:before="0" w:beforeAutospacing="0" w:after="0" w:afterAutospacing="0" w:line="340" w:lineRule="atLeast"/>
        <w:ind w:left="0" w:right="0"/>
        <w:rPr>
          <w:rFonts w:ascii="Segoe UI" w:hAnsi="Segoe UI" w:eastAsia="Segoe UI" w:cs="Segoe UI"/>
          <w:i w:val="0"/>
          <w:iCs w:val="0"/>
          <w:caps w:val="0"/>
          <w:color w:val="000000"/>
          <w:spacing w:val="0"/>
          <w:sz w:val="16"/>
          <w:szCs w:val="16"/>
          <w:shd w:val="clear" w:fill="FFFFFF"/>
        </w:rPr>
      </w:pPr>
      <w:r>
        <w:rPr>
          <w:rFonts w:ascii="Segoe UI" w:hAnsi="Segoe UI" w:eastAsia="Segoe UI" w:cs="Segoe UI"/>
          <w:i w:val="0"/>
          <w:iCs w:val="0"/>
          <w:caps w:val="0"/>
          <w:color w:val="000000"/>
          <w:spacing w:val="0"/>
          <w:sz w:val="16"/>
          <w:szCs w:val="16"/>
          <w:shd w:val="clear" w:fill="FFFFFF"/>
        </w:rPr>
        <w:t>故正确答案为A。</w:t>
      </w:r>
    </w:p>
    <w:p w14:paraId="231DC1DD">
      <w:pPr>
        <w:pStyle w:val="3"/>
        <w:keepNext w:val="0"/>
        <w:keepLines w:val="0"/>
        <w:widowControl/>
        <w:suppressLineNumbers w:val="0"/>
        <w:spacing w:before="0" w:beforeAutospacing="0" w:after="0" w:afterAutospacing="0" w:line="340" w:lineRule="atLeast"/>
        <w:ind w:left="0" w:right="0"/>
        <w:rPr>
          <w:rFonts w:ascii="Segoe UI" w:hAnsi="Segoe UI" w:eastAsia="Segoe UI" w:cs="Segoe UI"/>
          <w:i w:val="0"/>
          <w:iCs w:val="0"/>
          <w:caps w:val="0"/>
          <w:color w:val="000000"/>
          <w:spacing w:val="0"/>
          <w:sz w:val="16"/>
          <w:szCs w:val="16"/>
          <w:shd w:val="clear" w:fill="FFFFFF"/>
        </w:rPr>
      </w:pPr>
    </w:p>
    <w:p w14:paraId="2B9B9CB1">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90.D</w:t>
      </w:r>
    </w:p>
    <w:p w14:paraId="18B5684F">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65420" cy="1717675"/>
            <wp:effectExtent l="0" t="0" r="508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42"/>
                    <a:stretch>
                      <a:fillRect/>
                    </a:stretch>
                  </pic:blipFill>
                  <pic:spPr>
                    <a:xfrm>
                      <a:off x="0" y="0"/>
                      <a:ext cx="5265420" cy="1717675"/>
                    </a:xfrm>
                    <a:prstGeom prst="rect">
                      <a:avLst/>
                    </a:prstGeom>
                    <a:noFill/>
                    <a:ln>
                      <a:noFill/>
                    </a:ln>
                  </pic:spPr>
                </pic:pic>
              </a:graphicData>
            </a:graphic>
          </wp:inline>
        </w:drawing>
      </w:r>
    </w:p>
    <w:p w14:paraId="7F2D620F">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64150" cy="2310130"/>
            <wp:effectExtent l="0" t="0" r="6350" b="127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43"/>
                    <a:stretch>
                      <a:fillRect/>
                    </a:stretch>
                  </pic:blipFill>
                  <pic:spPr>
                    <a:xfrm>
                      <a:off x="0" y="0"/>
                      <a:ext cx="5264150" cy="2310130"/>
                    </a:xfrm>
                    <a:prstGeom prst="rect">
                      <a:avLst/>
                    </a:prstGeom>
                    <a:noFill/>
                    <a:ln>
                      <a:noFill/>
                    </a:ln>
                  </pic:spPr>
                </pic:pic>
              </a:graphicData>
            </a:graphic>
          </wp:inline>
        </w:drawing>
      </w:r>
    </w:p>
    <w:p w14:paraId="1E63FD79">
      <w:pPr>
        <w:pStyle w:val="3"/>
        <w:keepNext w:val="0"/>
        <w:keepLines w:val="0"/>
        <w:widowControl/>
        <w:suppressLineNumbers w:val="0"/>
        <w:spacing w:before="0" w:beforeAutospacing="0" w:after="0" w:afterAutospacing="0" w:line="340" w:lineRule="atLeast"/>
        <w:ind w:left="0" w:right="0"/>
      </w:pPr>
    </w:p>
    <w:p w14:paraId="341E75B0">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91.B</w:t>
      </w:r>
    </w:p>
    <w:p w14:paraId="5FAC3AB2">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72405" cy="1532255"/>
            <wp:effectExtent l="0" t="0" r="10795" b="444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44"/>
                    <a:stretch>
                      <a:fillRect/>
                    </a:stretch>
                  </pic:blipFill>
                  <pic:spPr>
                    <a:xfrm>
                      <a:off x="0" y="0"/>
                      <a:ext cx="5272405" cy="1532255"/>
                    </a:xfrm>
                    <a:prstGeom prst="rect">
                      <a:avLst/>
                    </a:prstGeom>
                    <a:noFill/>
                    <a:ln>
                      <a:noFill/>
                    </a:ln>
                  </pic:spPr>
                </pic:pic>
              </a:graphicData>
            </a:graphic>
          </wp:inline>
        </w:drawing>
      </w:r>
    </w:p>
    <w:p w14:paraId="3AF16DAF">
      <w:pPr>
        <w:pStyle w:val="3"/>
        <w:keepNext w:val="0"/>
        <w:keepLines w:val="0"/>
        <w:widowControl/>
        <w:suppressLineNumbers w:val="0"/>
        <w:spacing w:before="0" w:beforeAutospacing="0" w:after="0" w:afterAutospacing="0" w:line="340" w:lineRule="atLeast"/>
        <w:ind w:left="0" w:right="0"/>
      </w:pPr>
    </w:p>
    <w:p w14:paraId="7A080CEB">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92.C</w:t>
      </w:r>
    </w:p>
    <w:p w14:paraId="1D7AD0EA">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65420" cy="1323340"/>
            <wp:effectExtent l="0" t="0" r="5080" b="1016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45"/>
                    <a:stretch>
                      <a:fillRect/>
                    </a:stretch>
                  </pic:blipFill>
                  <pic:spPr>
                    <a:xfrm>
                      <a:off x="0" y="0"/>
                      <a:ext cx="5265420" cy="1323340"/>
                    </a:xfrm>
                    <a:prstGeom prst="rect">
                      <a:avLst/>
                    </a:prstGeom>
                    <a:noFill/>
                    <a:ln>
                      <a:noFill/>
                    </a:ln>
                  </pic:spPr>
                </pic:pic>
              </a:graphicData>
            </a:graphic>
          </wp:inline>
        </w:drawing>
      </w:r>
    </w:p>
    <w:p w14:paraId="7A7A8E4E">
      <w:pPr>
        <w:pStyle w:val="3"/>
        <w:keepNext w:val="0"/>
        <w:keepLines w:val="0"/>
        <w:widowControl/>
        <w:suppressLineNumbers w:val="0"/>
        <w:spacing w:before="0" w:beforeAutospacing="0" w:after="0" w:afterAutospacing="0" w:line="340" w:lineRule="atLeast"/>
        <w:ind w:left="0" w:right="0"/>
      </w:pPr>
    </w:p>
    <w:p w14:paraId="7CCDD13F">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93.D</w:t>
      </w:r>
    </w:p>
    <w:p w14:paraId="375DDAC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2023年3～12月间······当月产量月同比增速高于累计产量同比增速的月份有几个”，结合材料已知各月累计同比增速，可判定本题为混合增长率问题。根据混合增长率结论“整体增长率介于两个部分增长率之间”可知：若当月增速大于当月累计增速，则当月累计增速应大于上月累计增速。结合折线图，可得4月、5月、6月、7月、8月、12月满足，共6个月份。</w:t>
      </w:r>
    </w:p>
    <w:p w14:paraId="49B2590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5E7C446E">
      <w:pPr>
        <w:pStyle w:val="3"/>
        <w:keepNext w:val="0"/>
        <w:keepLines w:val="0"/>
        <w:widowControl/>
        <w:suppressLineNumbers w:val="0"/>
        <w:spacing w:before="0" w:beforeAutospacing="0" w:after="0" w:afterAutospacing="0" w:line="340" w:lineRule="atLeast"/>
        <w:ind w:left="0" w:right="0"/>
        <w:rPr>
          <w:rFonts w:hint="default"/>
          <w:lang w:val="en-US" w:eastAsia="zh-CN"/>
        </w:rPr>
      </w:pPr>
    </w:p>
    <w:p w14:paraId="50A833EA">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94.A</w:t>
      </w:r>
    </w:p>
    <w:p w14:paraId="288814A9">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67960" cy="1467485"/>
            <wp:effectExtent l="0" t="0" r="2540" b="571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46"/>
                    <a:stretch>
                      <a:fillRect/>
                    </a:stretch>
                  </pic:blipFill>
                  <pic:spPr>
                    <a:xfrm>
                      <a:off x="0" y="0"/>
                      <a:ext cx="5267960" cy="1467485"/>
                    </a:xfrm>
                    <a:prstGeom prst="rect">
                      <a:avLst/>
                    </a:prstGeom>
                    <a:noFill/>
                    <a:ln>
                      <a:noFill/>
                    </a:ln>
                  </pic:spPr>
                </pic:pic>
              </a:graphicData>
            </a:graphic>
          </wp:inline>
        </w:drawing>
      </w:r>
    </w:p>
    <w:p w14:paraId="1F7DACD3">
      <w:pPr>
        <w:pStyle w:val="3"/>
        <w:keepNext w:val="0"/>
        <w:keepLines w:val="0"/>
        <w:widowControl/>
        <w:suppressLineNumbers w:val="0"/>
        <w:spacing w:before="0" w:beforeAutospacing="0" w:after="0" w:afterAutospacing="0" w:line="340" w:lineRule="atLeast"/>
        <w:ind w:left="0" w:right="0"/>
      </w:pPr>
    </w:p>
    <w:p w14:paraId="39E2829F">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95.B</w:t>
      </w:r>
    </w:p>
    <w:p w14:paraId="14C30F5E">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67325" cy="1462405"/>
            <wp:effectExtent l="0" t="0" r="3175" b="1079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47"/>
                    <a:stretch>
                      <a:fillRect/>
                    </a:stretch>
                  </pic:blipFill>
                  <pic:spPr>
                    <a:xfrm>
                      <a:off x="0" y="0"/>
                      <a:ext cx="5267325" cy="1462405"/>
                    </a:xfrm>
                    <a:prstGeom prst="rect">
                      <a:avLst/>
                    </a:prstGeom>
                    <a:noFill/>
                    <a:ln>
                      <a:noFill/>
                    </a:ln>
                  </pic:spPr>
                </pic:pic>
              </a:graphicData>
            </a:graphic>
          </wp:inline>
        </w:drawing>
      </w:r>
    </w:p>
    <w:p w14:paraId="3F07F795">
      <w:pPr>
        <w:pStyle w:val="3"/>
        <w:keepNext w:val="0"/>
        <w:keepLines w:val="0"/>
        <w:widowControl/>
        <w:suppressLineNumbers w:val="0"/>
        <w:spacing w:before="0" w:beforeAutospacing="0" w:after="0" w:afterAutospacing="0" w:line="340" w:lineRule="atLeast"/>
        <w:ind w:left="0" w:right="0"/>
      </w:pPr>
    </w:p>
    <w:p w14:paraId="782FF157">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96.C</w:t>
      </w:r>
    </w:p>
    <w:p w14:paraId="75BE412E">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73040" cy="1623060"/>
            <wp:effectExtent l="0" t="0" r="10160" b="254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48"/>
                    <a:stretch>
                      <a:fillRect/>
                    </a:stretch>
                  </pic:blipFill>
                  <pic:spPr>
                    <a:xfrm>
                      <a:off x="0" y="0"/>
                      <a:ext cx="5273040" cy="1623060"/>
                    </a:xfrm>
                    <a:prstGeom prst="rect">
                      <a:avLst/>
                    </a:prstGeom>
                    <a:noFill/>
                    <a:ln>
                      <a:noFill/>
                    </a:ln>
                  </pic:spPr>
                </pic:pic>
              </a:graphicData>
            </a:graphic>
          </wp:inline>
        </w:drawing>
      </w:r>
    </w:p>
    <w:p w14:paraId="036B4DD7">
      <w:pPr>
        <w:pStyle w:val="3"/>
        <w:keepNext w:val="0"/>
        <w:keepLines w:val="0"/>
        <w:widowControl/>
        <w:suppressLineNumbers w:val="0"/>
        <w:spacing w:before="0" w:beforeAutospacing="0" w:after="0" w:afterAutospacing="0" w:line="340" w:lineRule="atLeast"/>
        <w:ind w:left="0" w:right="0"/>
      </w:pPr>
    </w:p>
    <w:p w14:paraId="5A4736B1">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97.B</w:t>
      </w:r>
    </w:p>
    <w:p w14:paraId="1D0ED0D4">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71135" cy="2839720"/>
            <wp:effectExtent l="0" t="0" r="12065" b="508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49"/>
                    <a:stretch>
                      <a:fillRect/>
                    </a:stretch>
                  </pic:blipFill>
                  <pic:spPr>
                    <a:xfrm>
                      <a:off x="0" y="0"/>
                      <a:ext cx="5271135" cy="2839720"/>
                    </a:xfrm>
                    <a:prstGeom prst="rect">
                      <a:avLst/>
                    </a:prstGeom>
                    <a:noFill/>
                    <a:ln>
                      <a:noFill/>
                    </a:ln>
                  </pic:spPr>
                </pic:pic>
              </a:graphicData>
            </a:graphic>
          </wp:inline>
        </w:drawing>
      </w:r>
    </w:p>
    <w:p w14:paraId="100B009C">
      <w:pPr>
        <w:pStyle w:val="3"/>
        <w:keepNext w:val="0"/>
        <w:keepLines w:val="0"/>
        <w:widowControl/>
        <w:suppressLineNumbers w:val="0"/>
        <w:spacing w:before="0" w:beforeAutospacing="0" w:after="0" w:afterAutospacing="0" w:line="340" w:lineRule="atLeast"/>
        <w:ind w:left="0" w:right="0"/>
      </w:pPr>
    </w:p>
    <w:p w14:paraId="32FDFE9E">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98.A</w:t>
      </w:r>
    </w:p>
    <w:p w14:paraId="14A7AFAA">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69230" cy="2738120"/>
            <wp:effectExtent l="0" t="0" r="1270" b="508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50"/>
                    <a:stretch>
                      <a:fillRect/>
                    </a:stretch>
                  </pic:blipFill>
                  <pic:spPr>
                    <a:xfrm>
                      <a:off x="0" y="0"/>
                      <a:ext cx="5269230" cy="2738120"/>
                    </a:xfrm>
                    <a:prstGeom prst="rect">
                      <a:avLst/>
                    </a:prstGeom>
                    <a:noFill/>
                    <a:ln>
                      <a:noFill/>
                    </a:ln>
                  </pic:spPr>
                </pic:pic>
              </a:graphicData>
            </a:graphic>
          </wp:inline>
        </w:drawing>
      </w:r>
    </w:p>
    <w:p w14:paraId="24B7209D">
      <w:pPr>
        <w:pStyle w:val="3"/>
        <w:keepNext w:val="0"/>
        <w:keepLines w:val="0"/>
        <w:widowControl/>
        <w:suppressLineNumbers w:val="0"/>
        <w:spacing w:before="0" w:beforeAutospacing="0" w:after="0" w:afterAutospacing="0" w:line="340" w:lineRule="atLeast"/>
        <w:ind w:left="0" w:right="0"/>
      </w:pPr>
    </w:p>
    <w:p w14:paraId="0AF8A660">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99.D</w:t>
      </w:r>
    </w:p>
    <w:p w14:paraId="6922FC24">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70500" cy="2796540"/>
            <wp:effectExtent l="0" t="0" r="0" b="1016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51"/>
                    <a:stretch>
                      <a:fillRect/>
                    </a:stretch>
                  </pic:blipFill>
                  <pic:spPr>
                    <a:xfrm>
                      <a:off x="0" y="0"/>
                      <a:ext cx="5270500" cy="2796540"/>
                    </a:xfrm>
                    <a:prstGeom prst="rect">
                      <a:avLst/>
                    </a:prstGeom>
                    <a:noFill/>
                    <a:ln>
                      <a:noFill/>
                    </a:ln>
                  </pic:spPr>
                </pic:pic>
              </a:graphicData>
            </a:graphic>
          </wp:inline>
        </w:drawing>
      </w:r>
    </w:p>
    <w:p w14:paraId="37DA4D7E">
      <w:pPr>
        <w:pStyle w:val="3"/>
        <w:keepNext w:val="0"/>
        <w:keepLines w:val="0"/>
        <w:widowControl/>
        <w:suppressLineNumbers w:val="0"/>
        <w:spacing w:before="0" w:beforeAutospacing="0" w:after="0" w:afterAutospacing="0" w:line="340" w:lineRule="atLeast"/>
        <w:ind w:left="0" w:right="0"/>
      </w:pPr>
    </w:p>
    <w:p w14:paraId="1E37C4C7">
      <w:pPr>
        <w:pStyle w:val="3"/>
        <w:keepNext w:val="0"/>
        <w:keepLines w:val="0"/>
        <w:widowControl/>
        <w:suppressLineNumbers w:val="0"/>
        <w:spacing w:before="0" w:beforeAutospacing="0" w:after="0" w:afterAutospacing="0" w:line="340" w:lineRule="atLeast"/>
        <w:ind w:left="0" w:right="0"/>
        <w:rPr>
          <w:rFonts w:hint="eastAsia"/>
          <w:lang w:val="en-US" w:eastAsia="zh-CN"/>
        </w:rPr>
      </w:pPr>
      <w:r>
        <w:rPr>
          <w:rFonts w:hint="eastAsia"/>
          <w:lang w:val="en-US" w:eastAsia="zh-CN"/>
        </w:rPr>
        <w:t>100.D</w:t>
      </w:r>
    </w:p>
    <w:p w14:paraId="4FCED420">
      <w:pPr>
        <w:pStyle w:val="3"/>
        <w:keepNext w:val="0"/>
        <w:keepLines w:val="0"/>
        <w:widowControl/>
        <w:suppressLineNumbers w:val="0"/>
        <w:spacing w:before="0" w:beforeAutospacing="0" w:after="0" w:afterAutospacing="0" w:line="340" w:lineRule="atLeast"/>
        <w:ind w:left="0" w:right="0"/>
      </w:pPr>
      <w:r>
        <w:drawing>
          <wp:inline distT="0" distB="0" distL="114300" distR="114300">
            <wp:extent cx="5273040" cy="2585085"/>
            <wp:effectExtent l="0" t="0" r="10160" b="571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52"/>
                    <a:stretch>
                      <a:fillRect/>
                    </a:stretch>
                  </pic:blipFill>
                  <pic:spPr>
                    <a:xfrm>
                      <a:off x="0" y="0"/>
                      <a:ext cx="5273040" cy="2585085"/>
                    </a:xfrm>
                    <a:prstGeom prst="rect">
                      <a:avLst/>
                    </a:prstGeom>
                    <a:noFill/>
                    <a:ln>
                      <a:noFill/>
                    </a:ln>
                  </pic:spPr>
                </pic:pic>
              </a:graphicData>
            </a:graphic>
          </wp:inline>
        </w:drawing>
      </w:r>
    </w:p>
    <w:p w14:paraId="7963E8F9">
      <w:pPr>
        <w:pStyle w:val="3"/>
        <w:keepNext w:val="0"/>
        <w:keepLines w:val="0"/>
        <w:widowControl/>
        <w:suppressLineNumbers w:val="0"/>
        <w:spacing w:before="0" w:beforeAutospacing="0" w:after="0" w:afterAutospacing="0" w:line="340" w:lineRule="atLeast"/>
        <w:ind w:left="0" w:right="0"/>
        <w:rPr>
          <w:rFonts w:hint="default"/>
          <w:lang w:val="en-US" w:eastAsia="zh-CN"/>
        </w:rPr>
      </w:pPr>
      <w:r>
        <w:drawing>
          <wp:inline distT="0" distB="0" distL="114300" distR="114300">
            <wp:extent cx="5273040" cy="4206240"/>
            <wp:effectExtent l="0" t="0" r="10160" b="1016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53"/>
                    <a:stretch>
                      <a:fillRect/>
                    </a:stretch>
                  </pic:blipFill>
                  <pic:spPr>
                    <a:xfrm>
                      <a:off x="0" y="0"/>
                      <a:ext cx="5273040" cy="420624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A1A1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E744C7">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4kTwyAgAAZ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jziRPDICAABlBAAADgAAAAAAAAABACAAAAAfAQAAZHJzL2Uyb0RvYy54bWxQSwUG&#10;AAAAAAYABgBZAQAAwwUAAAAA&#10;">
              <v:fill on="f" focussize="0,0"/>
              <v:stroke on="f" weight="0.5pt"/>
              <v:imagedata o:title=""/>
              <o:lock v:ext="edit" aspectratio="f"/>
              <v:textbox inset="0mm,0mm,0mm,0mm" style="mso-fit-shape-to-text:t;">
                <w:txbxContent>
                  <w:p w14:paraId="43E744C7">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8855C4"/>
    <w:rsid w:val="74833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5" Type="http://schemas.openxmlformats.org/officeDocument/2006/relationships/fontTable" Target="fontTable.xml"/><Relationship Id="rId54" Type="http://schemas.openxmlformats.org/officeDocument/2006/relationships/customXml" Target="../customXml/item1.xml"/><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2042</Words>
  <Characters>2073</Characters>
  <Lines>0</Lines>
  <Paragraphs>0</Paragraphs>
  <TotalTime>18</TotalTime>
  <ScaleCrop>false</ScaleCrop>
  <LinksUpToDate>false</LinksUpToDate>
  <CharactersWithSpaces>2073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2025-12-23T06:41:00Z</dcterms:created>
  <dc:creator>lshzh</dc:creator>
  <cp:lastModifiedBy>小三月</cp:lastModifiedBy>
  <dcterms:modified xsi:type="dcterms:W3CDTF">2025-12-25T08:30:16Z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eyJoZGlkIjoiNTk4M2VkZGQ2OGExYjEyZjFjZGJmODQ4YjAwOWNkMWIiLCJ1c2VySWQiOiIxNzc1MDk3Njk2In0=</vt:lpwstr>
  </property>
  <property fmtid="{D5CDD505-2E9C-101B-9397-08002B2CF9AE}" pid="4" name="ICV">
    <vt:lpwstr>63F7ABCE40434FB0AEE5926BD691CC2F_12</vt:lpwstr>
  </property>
</Properties>
</file>