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2010年广西公务员考试《行测》真题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(2010广西)</w:t>
      </w:r>
      <w:r>
        <w:pict>
          <v:shape type="#_x0000_t75" style="width:350pt; height:135.16791044776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第三个图形只保留前两个图形中均为空白的部分。</w:t>
      </w:r>
    </w:p>
    <w:p>
      <w:pPr>
        <w:pStyle w:val="pStyle"/>
      </w:pPr>
      <w:r>
        <w:rPr/>
        <w:t xml:space="preserve">因此本题选A。</w:t>
      </w:r>
    </w:p>
    <w:p>
      <w:pPr>
        <w:pStyle w:val="pStyle"/>
      </w:pPr>
      <w:r>
        <w:rPr/>
        <w:t xml:space="preserve">【来源】 2010年广西公务员考试《行测》真题第66题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2023-12-27T15:42:47+08:00</dcterms:created>
  <dcterms:modified xsi:type="dcterms:W3CDTF">2023-12-27T15:42:47+08:00</dcterms:modified>
</cp:coreProperties>
</file>

<file path=docProps/custom.xml><?xml version="1.0" encoding="utf-8"?>
<Properties xmlns="http://schemas.openxmlformats.org/officeDocument/2006/custom-properties" xmlns:vt="http://schemas.openxmlformats.org/officeDocument/2006/docPropsVTypes"/>
</file>