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北京风格图形推理一拖三</w:t>
      </w:r>
    </w:p>
    <w:p>
      <w:pPr>
        <w:pStyle w:val="Subtitle"/>
      </w:pPr>
      <w:r>
        <w:t>原创样题  一组3题</w:t>
      </w:r>
    </w:p>
    <w:p>
      <w:r>
        <w:t>三题共用下表，但各题独立。对每题左侧图形，按符号从左到右依次操作，选择最终得到的图形。</w:t>
      </w:r>
    </w:p>
    <w:p>
      <w:r>
        <w:t>每一步都以上一步的结果为对象；“上、下、左、右”均以当时图形为准。反色只改变黑白填充，方格线不变。</w:t>
      </w:r>
    </w:p>
    <w:p>
      <w:pPr>
        <w:pStyle w:val="Heading1"/>
      </w:pPr>
      <w:r>
        <w:t>共用操作规则</w:t>
      </w:r>
    </w:p>
    <w:tbl>
      <w:tblPr>
        <w:tblW w:type="dxa" w:w="9619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75" w:type="dxa"/>
          <w:bottom w:w="75" w:type="dxa"/>
          <w:start w:w="65" w:type="dxa"/>
          <w:end w:w="65" w:type="dxa"/>
        </w:tblCellMar>
      </w:tblPr>
      <w:tblGrid>
        <w:gridCol w:w="490"/>
        <w:gridCol w:w="4320"/>
        <w:gridCol w:w="490"/>
        <w:gridCol w:w="4320"/>
      </w:tblGrid>
      <w:tr>
        <w:trPr>
          <w:cantSplit/>
        </w:trPr>
        <w:tc>
          <w:tcPr>
            <w:tcW w:type="dxa" w:w="490"/>
            <w:vAlign w:val="center"/>
          </w:tcPr>
          <w:p>
            <w:pPr>
              <w:pStyle w:val="Rules"/>
              <w:jc w:val="center"/>
            </w:pPr>
            <w:r>
              <w:rPr>
                <w:sz w:val="28"/>
              </w:rPr>
              <w:t>●</w:t>
            </w:r>
          </w:p>
        </w:tc>
        <w:tc>
          <w:tcPr>
            <w:tcW w:type="dxa" w:w="4320"/>
            <w:vAlign w:val="center"/>
          </w:tcPr>
          <w:p>
            <w:pPr>
              <w:pStyle w:val="Rules"/>
            </w:pPr>
            <w:r>
              <w:t>整体顺时针旋转90°</w:t>
            </w:r>
          </w:p>
        </w:tc>
        <w:tc>
          <w:tcPr>
            <w:tcW w:type="dxa" w:w="490"/>
            <w:vAlign w:val="center"/>
          </w:tcPr>
          <w:p>
            <w:pPr>
              <w:pStyle w:val="Rules"/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4320"/>
            <w:vAlign w:val="center"/>
          </w:tcPr>
          <w:p>
            <w:pPr>
              <w:pStyle w:val="Rules"/>
            </w:pPr>
            <w:r>
              <w:t>整体逆时针旋转90°</w:t>
            </w:r>
          </w:p>
        </w:tc>
      </w:tr>
      <w:tr>
        <w:trPr>
          <w:cantSplit/>
        </w:trPr>
        <w:tc>
          <w:tcPr>
            <w:tcW w:type="dxa" w:w="490"/>
            <w:vAlign w:val="center"/>
          </w:tcPr>
          <w:p>
            <w:pPr>
              <w:pStyle w:val="Rules"/>
              <w:jc w:val="center"/>
            </w:pPr>
            <w:r>
              <w:rPr>
                <w:sz w:val="28"/>
              </w:rPr>
              <w:t>◆</w:t>
            </w:r>
          </w:p>
        </w:tc>
        <w:tc>
          <w:tcPr>
            <w:tcW w:type="dxa" w:w="4320"/>
            <w:vAlign w:val="center"/>
          </w:tcPr>
          <w:p>
            <w:pPr>
              <w:pStyle w:val="Rules"/>
            </w:pPr>
            <w:r>
              <w:t>整体左右镜像</w:t>
            </w:r>
          </w:p>
        </w:tc>
        <w:tc>
          <w:tcPr>
            <w:tcW w:type="dxa" w:w="490"/>
            <w:vAlign w:val="center"/>
          </w:tcPr>
          <w:p>
            <w:pPr>
              <w:pStyle w:val="Rules"/>
              <w:jc w:val="center"/>
            </w:pPr>
            <w:r>
              <w:rPr>
                <w:sz w:val="28"/>
              </w:rPr>
              <w:t>◇</w:t>
            </w:r>
          </w:p>
        </w:tc>
        <w:tc>
          <w:tcPr>
            <w:tcW w:type="dxa" w:w="4320"/>
            <w:vAlign w:val="center"/>
          </w:tcPr>
          <w:p>
            <w:pPr>
              <w:pStyle w:val="Rules"/>
            </w:pPr>
            <w:r>
              <w:t>整体上下镜像</w:t>
            </w:r>
          </w:p>
        </w:tc>
      </w:tr>
      <w:tr>
        <w:trPr>
          <w:cantSplit/>
        </w:trPr>
        <w:tc>
          <w:tcPr>
            <w:tcW w:type="dxa" w:w="490"/>
            <w:vAlign w:val="center"/>
          </w:tcPr>
          <w:p>
            <w:pPr>
              <w:pStyle w:val="Rules"/>
              <w:jc w:val="center"/>
            </w:pPr>
            <w:r>
              <w:rPr>
                <w:sz w:val="28"/>
              </w:rPr>
              <w:t>▲</w:t>
            </w:r>
          </w:p>
        </w:tc>
        <w:tc>
          <w:tcPr>
            <w:tcW w:type="dxa" w:w="4320"/>
            <w:vAlign w:val="center"/>
          </w:tcPr>
          <w:p>
            <w:pPr>
              <w:pStyle w:val="Rules"/>
            </w:pPr>
            <w:r>
              <w:t>上半部分黑白反色，下半不变</w:t>
            </w:r>
          </w:p>
        </w:tc>
        <w:tc>
          <w:tcPr>
            <w:tcW w:type="dxa" w:w="490"/>
            <w:vAlign w:val="center"/>
          </w:tcPr>
          <w:p>
            <w:pPr>
              <w:pStyle w:val="Rules"/>
              <w:jc w:val="center"/>
            </w:pPr>
            <w:r>
              <w:rPr>
                <w:sz w:val="28"/>
              </w:rPr>
              <w:t>△</w:t>
            </w:r>
          </w:p>
        </w:tc>
        <w:tc>
          <w:tcPr>
            <w:tcW w:type="dxa" w:w="4320"/>
            <w:vAlign w:val="center"/>
          </w:tcPr>
          <w:p>
            <w:pPr>
              <w:pStyle w:val="Rules"/>
            </w:pPr>
            <w:r>
              <w:t>右半部分黑白反色，左半不变</w:t>
            </w:r>
          </w:p>
        </w:tc>
      </w:tr>
      <w:tr>
        <w:trPr>
          <w:cantSplit/>
        </w:trPr>
        <w:tc>
          <w:tcPr>
            <w:tcW w:type="dxa" w:w="490"/>
            <w:vAlign w:val="center"/>
          </w:tcPr>
          <w:p>
            <w:pPr>
              <w:pStyle w:val="Rules"/>
              <w:jc w:val="center"/>
            </w:pPr>
            <w:r>
              <w:rPr>
                <w:sz w:val="28"/>
              </w:rPr>
              <w:t>■</w:t>
            </w:r>
          </w:p>
        </w:tc>
        <w:tc>
          <w:tcPr>
            <w:tcW w:type="dxa" w:w="4320"/>
            <w:vAlign w:val="center"/>
          </w:tcPr>
          <w:p>
            <w:pPr>
              <w:pStyle w:val="Rules"/>
            </w:pPr>
            <w:r>
              <w:t>保留左半，将右半替换为左半的左右镜像</w:t>
            </w:r>
          </w:p>
        </w:tc>
        <w:tc>
          <w:tcPr>
            <w:tcW w:type="dxa" w:w="490"/>
            <w:vAlign w:val="center"/>
          </w:tcPr>
          <w:p>
            <w:pPr>
              <w:pStyle w:val="Rules"/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type="dxa" w:w="4320"/>
            <w:vAlign w:val="center"/>
          </w:tcPr>
          <w:p>
            <w:pPr>
              <w:pStyle w:val="Rules"/>
            </w:pPr>
            <w:r>
              <w:t>仅将上半部分左右镜像，下半不变</w:t>
            </w:r>
          </w:p>
        </w:tc>
      </w:tr>
    </w:tbl>
    <w:p>
      <w:pPr>
        <w:spacing w:before="80" w:after="100"/>
      </w:pPr>
      <w:r>
        <w:t>注：镜像为翻折后的效果；局部镜像只在指定半区内部进行。</w:t>
      </w:r>
    </w:p>
    <w:p>
      <w:pPr>
        <w:pStyle w:val="Stem"/>
        <w:keepNext/>
        <w:keepLines/>
        <w:numPr>
          <w:ilvl w:val="0"/>
          <w:numId w:val="10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1" name="Picture 1" descr="第1题：输入图、三个操作符号与四个选项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0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2" name="Picture 2" descr="第2题：输入图、三个操作符号与四个选项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0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3" name="Picture 3" descr="第3题：输入图、三个操作符号与四个选项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答案与解析</w:t>
      </w:r>
    </w:p>
    <w:p>
      <w:r>
        <w:t>参考答案：1 B    2 D    3 A</w:t>
      </w:r>
    </w:p>
    <w:p>
      <w:pPr>
        <w:pStyle w:val="Heading2"/>
        <w:keepNext/>
        <w:keepLines/>
      </w:pPr>
      <w:r>
        <w:t>第1题</w:t>
      </w:r>
    </w:p>
    <w:p>
      <w:pPr>
        <w:pStyle w:val="Explanation"/>
        <w:keepNext w:val="0"/>
        <w:keepLines/>
      </w:pPr>
      <w:r>
        <w:t>先整体左右镜像，再整体顺时针旋转90°，最后只将当前图形的上半部分反色。旋转完成后要重新定位上下，结果对应B项。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4" name="Picture 4" descr="第1题：原图及三步变换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干扰项辨析：A项：将前两步的先后顺序颠倒。C项：把上半部分反色扩大为全图反色。D项：在旋转前就进行上半部分反色。</w:t>
      </w:r>
    </w:p>
    <w:p>
      <w:pPr>
        <w:pStyle w:val="Explanation"/>
      </w:pPr>
      <w:r>
        <w:t>考查重点：整体镜像与旋转的先后，以及旋转后半区的位置。</w:t>
      </w:r>
    </w:p>
    <w:p>
      <w:pPr>
        <w:pStyle w:val="Heading2"/>
        <w:keepNext/>
        <w:keepLines/>
      </w:pPr>
      <w:r>
        <w:t>第2题</w:t>
      </w:r>
    </w:p>
    <w:p>
      <w:pPr>
        <w:pStyle w:val="Explanation"/>
        <w:keepNext w:val="0"/>
        <w:keepLines/>
      </w:pPr>
      <w:r>
        <w:t>先保留左半部分，用它的左右镜像重建右半；再将得到的完整图形逆时针旋转90°；最后只对当前图形的右半部分反色，结果对应D项。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5" name="Picture 5" descr="第2题：原图及三步变换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干扰项辨析：A项：把保留左半误读为保留右半。B项：把逆时针旋转90°误做顺时针旋转90°。C项：最后对左半反色，误认当前图的右半。</w:t>
      </w:r>
    </w:p>
    <w:p>
      <w:pPr>
        <w:pStyle w:val="Explanation"/>
      </w:pPr>
      <w:r>
        <w:t>考查重点：半区镜像重建、旋转方向与当前图反色范围。</w:t>
      </w:r>
    </w:p>
    <w:p>
      <w:pPr>
        <w:pStyle w:val="Heading2"/>
        <w:keepNext/>
        <w:keepLines/>
      </w:pPr>
      <w:r>
        <w:t>第3题</w:t>
      </w:r>
    </w:p>
    <w:p>
      <w:pPr>
        <w:pStyle w:val="Explanation"/>
        <w:keepNext w:val="0"/>
        <w:keepLines/>
      </w:pPr>
      <w:r>
        <w:t>先只在上半部分内部做左右镜像，下半部分不变；再将全图上下镜像；最后将全图顺时针旋转90°，结果对应A项。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6" name="Picture 6" descr="第3题：原图及三步变换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干扰项辨析：B项：把上半内部的左右镜像误做上下镜像。C项：将仅上半镜像扩大为全图左右镜像。D项：把前两步颠倒，使局部镜像作用在另一半。</w:t>
      </w:r>
    </w:p>
    <w:p>
      <w:pPr>
        <w:pStyle w:val="Explanation"/>
      </w:pPr>
      <w:r>
        <w:t>考查重点：半区内部镜像与全图镜像的区别，局部操作的时序。</w:t>
      </w:r>
    </w:p>
    <w:sectPr w:rsidR="00FC693F" w:rsidRPr="0006063C" w:rsidSect="00034616">
      <w:pgSz w:w="11906" w:h="16838"/>
      <w:pgMar w:top="935" w:right="1134" w:bottom="935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A6000009"/>
    <w:multiLevelType w:val="singleLevel"/>
    <w:lvl w:ilvl="0">
      <w:start w:val="1"/>
      <w:numFmt w:val="decimal"/>
      <w:suff w:val="space"/>
      <w:lvlText w:val="%1."/>
      <w:lvlJc w:val="left"/>
      <w:pPr>
        <w:ind w:left="260" w:hanging="2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76" w:lineRule="auto"/>
      <w:snapToGrid w:val="0"/>
    </w:pPr>
    <w:rPr>
      <w:rFonts w:ascii="Calibri" w:hAnsi="Calibri" w:eastAsia="宋体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80" w:after="120" w:line="264" w:lineRule="auto"/>
      <w:outlineLvl w:val="0"/>
      <w:snapToGrid w:val="0"/>
    </w:pPr>
    <w:rPr>
      <w:rFonts w:asciiTheme="majorHAnsi" w:eastAsiaTheme="majorEastAsia" w:hAnsiTheme="majorHAnsi" w:cstheme="majorBidi" w:ascii="Calibri" w:hAnsi="Calibri" w:eastAsia="黑体"/>
      <w:b/>
      <w:bCs/>
      <w:i w:val="0"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40" w:after="80" w:line="264" w:lineRule="auto"/>
      <w:outlineLvl w:val="1"/>
      <w:snapToGrid w:val="0"/>
    </w:pPr>
    <w:rPr>
      <w:rFonts w:asciiTheme="majorHAnsi" w:eastAsiaTheme="majorEastAsia" w:hAnsiTheme="majorHAnsi" w:cstheme="majorBidi" w:ascii="Calibri" w:hAnsi="Calibri" w:eastAsia="黑体"/>
      <w:b/>
      <w:bCs/>
      <w:i w:val="0"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00" w:line="264" w:lineRule="auto" w:before="0"/>
      <w:contextualSpacing/>
      <w:snapToGrid w:val="0"/>
    </w:pPr>
    <w:rPr>
      <w:rFonts w:asciiTheme="majorHAnsi" w:eastAsiaTheme="majorEastAsia" w:hAnsiTheme="majorHAnsi" w:cstheme="majorBidi" w:ascii="Calibri" w:hAnsi="Calibri" w:eastAsia="黑体"/>
      <w:b/>
      <w:i w:val="0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60" w:line="264" w:lineRule="auto"/>
      <w:snapToGrid w:val="0"/>
    </w:pPr>
    <w:rPr>
      <w:rFonts w:asciiTheme="majorHAnsi" w:eastAsiaTheme="majorEastAsia" w:hAnsiTheme="majorHAnsi" w:cstheme="majorBidi" w:ascii="Calibri" w:hAnsi="Calibri" w:eastAsia="宋体"/>
      <w:b w:val="0"/>
      <w:i w:val="0"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">
    <w:name w:val="Figure"/>
    <w:pPr>
      <w:widowControl/>
      <w:spacing w:before="0" w:after="80" w:line="240" w:lineRule="auto"/>
      <w:snapToGrid w:val="0"/>
    </w:pPr>
    <w:rPr>
      <w:rFonts w:ascii="Calibri" w:hAnsi="Calibri" w:eastAsia="宋体"/>
      <w:b w:val="0"/>
      <w:i w:val="0"/>
      <w:color w:val="000000"/>
      <w:sz w:val="2"/>
    </w:rPr>
  </w:style>
  <w:style w:type="paragraph" w:customStyle="1" w:styleId="Rules">
    <w:name w:val="Rules"/>
    <w:pPr>
      <w:widowControl/>
      <w:spacing w:before="0" w:after="0" w:line="259" w:lineRule="auto"/>
      <w:snapToGrid w:val="0"/>
    </w:pPr>
    <w:rPr>
      <w:rFonts w:ascii="Calibri" w:hAnsi="Calibri" w:eastAsia="宋体"/>
      <w:b w:val="0"/>
      <w:i w:val="0"/>
      <w:color w:val="000000"/>
      <w:sz w:val="20"/>
    </w:rPr>
  </w:style>
  <w:style w:type="paragraph" w:customStyle="1" w:styleId="Stem">
    <w:name w:val="Stem"/>
    <w:pPr>
      <w:widowControl/>
      <w:spacing w:before="0" w:after="60" w:line="259" w:lineRule="auto"/>
      <w:snapToGrid w:val="0"/>
    </w:pPr>
    <w:rPr>
      <w:rFonts w:ascii="Calibri" w:hAnsi="Calibri" w:eastAsia="宋体"/>
      <w:b w:val="0"/>
      <w:i w:val="0"/>
      <w:color w:val="000000"/>
      <w:sz w:val="21"/>
    </w:rPr>
  </w:style>
  <w:style w:type="paragraph" w:customStyle="1" w:styleId="Explanation">
    <w:name w:val="Explanation"/>
    <w:pPr>
      <w:widowControl/>
      <w:spacing w:before="0" w:after="80" w:line="276" w:lineRule="auto"/>
      <w:snapToGrid w:val="0"/>
    </w:pPr>
    <w:rPr>
      <w:rFonts w:ascii="Calibri" w:hAnsi="Calibri" w:eastAsia="宋体"/>
      <w:b w:val="0"/>
      <w:i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北京风格图形推理一拖三</dc:title>
  <dc:subject>原创一组3题及分步图解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