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 w:eastAsia="Microsoft YaHei"/>
          <w:b/>
          <w:color w:val="2E74B5"/>
          <w:sz w:val="22"/>
        </w:rPr>
        <w:t>技术决策简报</w:t>
      </w:r>
    </w:p>
    <w:p>
      <w:pPr>
        <w:spacing w:after="120"/>
      </w:pPr>
      <w:r>
        <w:rPr>
          <w:rFonts w:ascii="Calibri" w:hAnsi="Calibri" w:eastAsia="Microsoft YaHei"/>
          <w:b/>
          <w:color w:val="172B4D"/>
          <w:sz w:val="50"/>
        </w:rPr>
        <w:t>Auto-Tune 后续研发路线与实施评估</w:t>
      </w:r>
    </w:p>
    <w:p>
      <w:pPr>
        <w:spacing w:after="360"/>
      </w:pPr>
      <w:r>
        <w:rPr>
          <w:rFonts w:ascii="Calibri" w:hAnsi="Calibri" w:eastAsia="Microsoft YaHei"/>
          <w:color w:val="1F4D78"/>
          <w:sz w:val="28"/>
        </w:rPr>
        <w:t>Studio / Research / Cloud 三款独立软件的生态化方案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9"/>
              </w:rPr>
              <w:t>汇报对象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9"/>
              </w:rPr>
              <w:t>技术 Leader / 研发负责人</w:t>
            </w:r>
          </w:p>
        </w:tc>
      </w:tr>
      <w:tr>
        <w:tc>
          <w:tcPr>
            <w:tcW w:type="dxa" w:w="18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9"/>
              </w:rPr>
              <w:t>当前基线</w:t>
            </w:r>
          </w:p>
        </w:tc>
        <w:tc>
          <w:tcPr>
            <w:tcW w:type="dxa" w:w="75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9"/>
              </w:rPr>
              <w:t>Auto-Tune Studio v0.1：审计闭环与统一训练历史已验收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9"/>
              </w:rPr>
              <w:t>本次决策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9"/>
              </w:rPr>
              <w:t>三款软件均可独立安装、独立运行、独立测试和独立发布</w:t>
            </w:r>
          </w:p>
        </w:tc>
      </w:tr>
      <w:tr>
        <w:tc>
          <w:tcPr>
            <w:tcW w:type="dxa" w:w="18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9"/>
              </w:rPr>
              <w:t>修订日期</w:t>
            </w:r>
          </w:p>
        </w:tc>
        <w:tc>
          <w:tcPr>
            <w:tcW w:type="dxa" w:w="75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9"/>
              </w:rPr>
              <w:t>2026-08-17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1F4D78"/>
              </w:rPr>
              <w:t>建议结论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72B4D"/>
              </w:rPr>
              <w:t>批准将 Auto-Tune 从单产品扩展路线调整为同一生态下的三款独立软件。近期继续优先完成 Studio 可靠性；Research 以受控自动研究为核心单独立项；Cloud 在编码前先完成多租户、队列、存储、Worker 与 CVAT 契约的架构验证。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管理摘要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172B4D"/>
        </w:rPr>
        <w:t>原路线将在线平台和模型架构实验视为当前单机产品的后续扩展。随着功能边界扩大，这种方式会把操作型训练、学术探索和平台服务三种不同的安全模型、用户体验与发布节奏强行放入同一程序。建议改为三款独立软件，共享版本化实验协议，而不是共享安装包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72B4D"/>
        </w:rPr>
        <w:t>Studio 是近期可形成稳定产品价值的离线单机软件；除外部大模型调用和主动资源获取外，核心训练闭环可离线运行。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72B4D"/>
        </w:rPr>
        <w:t>Research 面向模型结构解析、受控结构组合、自动消融和后期受控代码研究，允许实验失败，但必须保证评估事实层不可修改。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72B4D"/>
        </w:rPr>
        <w:t>Cloud 面向多用户、任务队列、GPU调度、对象存储和CVAT协同，是独立服务端平台工程，不是Studio简单联网化。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72B4D"/>
        </w:rPr>
        <w:t>三者通过 DatasetSnapshot、ExperimentSpec、TrialRecord、TrainingEvent、AgentDecision、ArtifactManifest 和 AuditRecord 等协议交换信息。</w:t>
      </w:r>
    </w:p>
    <w:p>
      <w:r>
        <w:br w:type="page"/>
      </w:r>
    </w:p>
    <w:p>
      <w:pPr>
        <w:pStyle w:val="Heading1"/>
        <w:keepNext/>
      </w:pPr>
      <w:r>
        <w:t>2. 当前产品基线与不变边界</w:t>
      </w:r>
    </w:p>
    <w:p>
      <w:pPr>
        <w:pStyle w:val="Heading2"/>
        <w:keepNext/>
      </w:pPr>
      <w:r>
        <w:t>2.1 Studio v0.1 已验收能力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000"/>
        <w:gridCol w:w="4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能力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当前状态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后续兼容要求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数据集分析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质量、bbox、类别、聚类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保留事实来源与目录选择主流程</w:t>
            </w:r>
          </w:p>
        </w:tc>
      </w:tr>
      <w:tr>
        <w:tc>
          <w:tcPr>
            <w:tcW w:type="dxa" w:w="18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训练分析</w:t>
            </w:r>
          </w:p>
        </w:tc>
        <w:tc>
          <w:tcPr>
            <w:tcW w:type="dxa" w:w="30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指标摘要、文本诊断、视觉分析</w:t>
            </w:r>
          </w:p>
        </w:tc>
        <w:tc>
          <w:tcPr>
            <w:tcW w:type="dxa" w:w="45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训练成功与分析失败必须分离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LLM调优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决策、Guardrails、探针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仅允许白名单内超参数</w:t>
            </w:r>
          </w:p>
        </w:tc>
      </w:tr>
      <w:tr>
        <w:tc>
          <w:tcPr>
            <w:tcW w:type="dxa" w:w="18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审计闭环</w:t>
            </w:r>
          </w:p>
        </w:tc>
        <w:tc>
          <w:tcPr>
            <w:tcW w:type="dxa" w:w="30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候选值、实际值、命令、指标差、终态</w:t>
            </w:r>
          </w:p>
        </w:tc>
        <w:tc>
          <w:tcPr>
            <w:tcW w:type="dxa" w:w="45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审计失败继续作为fatal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统一历史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普通训练与调优共用KPI和收尾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旧Schema继续可读，不覆盖损坏历史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 离线产品定义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172B4D"/>
        </w:rPr>
        <w:t>Studio 的数据读取、分析、训练、历史和报告均在本机完成。外部LLM、首次获取未打包权重或依赖、用户主动更新属于显式联网行为。正式发行应提供资源缓存和离线准备说明，不能把云端服务作为隐含依赖。</w:t>
      </w:r>
    </w:p>
    <w:p>
      <w:pPr>
        <w:pStyle w:val="Heading2"/>
        <w:keepNext/>
      </w:pPr>
      <w:r>
        <w:t>2.3 当前架构限制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72B4D"/>
        </w:rPr>
        <w:t>FastAPI + Jinja2、JSON平铺、本地subprocess和SSE适合单用户单机，但不能直接等同于多用户平台架构。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72B4D"/>
        </w:rPr>
        <w:t>本地路径可以作为运行信息，但不能作为跨软件、跨主机的永久身份。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72B4D"/>
        </w:rPr>
        <w:t>当前experiment history和tuning audit已形成兼容边界，后续只能兼容扩展，不能静默替换。</w:t>
      </w:r>
    </w:p>
    <w:p>
      <w:r>
        <w:br w:type="page"/>
      </w:r>
    </w:p>
    <w:p>
      <w:pPr>
        <w:pStyle w:val="Heading1"/>
        <w:keepNext/>
      </w:pPr>
      <w:r>
        <w:t>3. 三款独立软件的定位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00"/>
        <w:gridCol w:w="2500"/>
        <w:gridCol w:w="2600"/>
        <w:gridCol w:w="2860"/>
      </w:tblGrid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维度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Studio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Research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Cloud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用户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操作人员/算法工程师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科研人员/算法团队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组织/平台管理员/协作团队</w:t>
            </w:r>
          </w:p>
        </w:tc>
      </w:tr>
      <w:tr>
        <w:tc>
          <w:tcPr>
            <w:tcW w:type="dxa" w:w="14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安装</w:t>
            </w:r>
          </w:p>
        </w:tc>
        <w:tc>
          <w:tcPr>
            <w:tcW w:type="dxa" w:w="25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Windows/Linux单机包</w:t>
            </w:r>
          </w:p>
        </w:tc>
        <w:tc>
          <w:tcPr>
            <w:tcW w:type="dxa" w:w="26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独立环境或容器</w:t>
            </w:r>
          </w:p>
        </w:tc>
        <w:tc>
          <w:tcPr>
            <w:tcW w:type="dxa" w:w="28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服务器或私有云部署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核心对象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数据集、训练、超参数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结构、假设、消融实验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用户、项目、任务、GPU资源</w:t>
            </w:r>
          </w:p>
        </w:tc>
      </w:tr>
      <w:tr>
        <w:tc>
          <w:tcPr>
            <w:tcW w:type="dxa" w:w="14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LLM权限</w:t>
            </w:r>
          </w:p>
        </w:tc>
        <w:tc>
          <w:tcPr>
            <w:tcW w:type="dxa" w:w="25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白名单参数</w:t>
            </w:r>
          </w:p>
        </w:tc>
        <w:tc>
          <w:tcPr>
            <w:tcW w:type="dxa" w:w="26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结构配置；后期受控代码</w:t>
            </w:r>
          </w:p>
        </w:tc>
        <w:tc>
          <w:tcPr>
            <w:tcW w:type="dxa" w:w="28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受权限约束的建议与编排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失败语义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关键失败阻止训练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keep/discard/crash/invalid/review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重试/隔离/恢复/告警</w:t>
            </w:r>
          </w:p>
        </w:tc>
      </w:tr>
      <w:tr>
        <w:tc>
          <w:tcPr>
            <w:tcW w:type="dxa" w:w="14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发布</w:t>
            </w:r>
          </w:p>
        </w:tc>
        <w:tc>
          <w:tcPr>
            <w:tcW w:type="dxa" w:w="25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稳定性优先</w:t>
            </w:r>
          </w:p>
        </w:tc>
        <w:tc>
          <w:tcPr>
            <w:tcW w:type="dxa" w:w="26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研究能力独立迭代</w:t>
            </w:r>
          </w:p>
        </w:tc>
        <w:tc>
          <w:tcPr>
            <w:tcW w:type="dxa" w:w="28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平台里程碑独立发布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3.1 Auto-Tune Studio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172B4D"/>
        </w:rPr>
        <w:t>定位：可安装、可审计、面向实际操作的本地数据分析与YOLO训练软件。LLM只负责提出候选参数，确定性执行器负责校验、护栏和实际训练。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72B4D"/>
        </w:rPr>
        <w:t>近期：日志精简、不可变数据快照、密钥迁移、容量限制。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72B4D"/>
        </w:rPr>
        <w:t>随后：YOLO11/YOLO26及task/version框架，按需求扩展分割、OBB、分类。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72B4D"/>
        </w:rPr>
        <w:t>增强：优化目标、试验预算、重复配置检测、实验记忆筛选和最终调优总结。</w:t>
      </w:r>
    </w:p>
    <w:p>
      <w:pPr>
        <w:pStyle w:val="Heading2"/>
        <w:keepNext/>
      </w:pPr>
      <w:r>
        <w:t>3.2 Auto-Tune Research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172B4D"/>
        </w:rPr>
        <w:t>定位：面向论文与算法创新的自动实验软件。允许结构实验失败，但必须保证数据划分、评估函数、主指标和资源约束不可被Agent改写。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72B4D"/>
        </w:rPr>
        <w:t>结构解析：拓扑、模块、参数量、FLOPs与兼容性。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72B4D"/>
        </w:rPr>
        <w:t>受控组合：注册模块与模板化Backbone/Neck/Attention/Loss变体。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72B4D"/>
        </w:rPr>
        <w:t>自动消融：基线、变体、资源开销和复杂度共同决策。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72B4D"/>
        </w:rPr>
        <w:t>后期受控代码研究：隔离工作区、文件白名单、禁止新增依赖、资源沙箱和人工审批门。</w:t>
      </w:r>
    </w:p>
    <w:p>
      <w:pPr>
        <w:pStyle w:val="Heading2"/>
        <w:keepNext/>
      </w:pPr>
      <w:r>
        <w:t>3.3 Auto-Tune Cloud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172B4D"/>
        </w:rPr>
        <w:t>定位：面向组织的多用户训练与标注协同平台。必须独立建设认证授权、数据库、对象存储、队列、Worker、GPU调度、可观测性、恢复和审计。CVAT通过API和异步任务解耦，不合并代码库。</w:t>
      </w:r>
    </w:p>
    <w:p>
      <w:r>
        <w:br w:type="page"/>
      </w:r>
    </w:p>
    <w:p>
      <w:pPr>
        <w:pStyle w:val="Heading1"/>
        <w:keepNext/>
      </w:pPr>
      <w:r>
        <w:t>4. Studio 未完成工作全景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172B4D"/>
        </w:rPr>
        <w:t>产品线拆分不代表缩减现有产品计划。下列事项均来自原路线、实施计划、Linux迁移方案和操作手册，仍属于Studio后续研发范围。</w:t>
      </w:r>
    </w:p>
    <w:p>
      <w:pPr>
        <w:pStyle w:val="Heading2"/>
        <w:keepNext/>
      </w:pPr>
      <w:r>
        <w:t>4.1 可靠性与安全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3100"/>
        <w:gridCol w:w="40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事项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当前情况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目标/验收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训练日志分层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完整输出直接进入界面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默认epoch关键指标；完整日志折叠；错误栈可查</w:t>
            </w:r>
          </w:p>
        </w:tc>
      </w:tr>
      <w:tr>
        <w:tc>
          <w:tcPr>
            <w:tcW w:type="dxa" w:w="22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不可变数据快照</w:t>
            </w:r>
          </w:p>
        </w:tc>
        <w:tc>
          <w:tcPr>
            <w:tcW w:type="dxa" w:w="31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划分流程仍需改造</w:t>
            </w:r>
          </w:p>
        </w:tc>
        <w:tc>
          <w:tcPr>
            <w:tcW w:type="dxa" w:w="40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不移动原始文件；快照有身份与校验摘要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API密钥迁移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历史上由config.yaml配置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环境变量或本机密钥存储；导出和日志不泄漏</w:t>
            </w:r>
          </w:p>
        </w:tc>
      </w:tr>
      <w:tr>
        <w:tc>
          <w:tcPr>
            <w:tcW w:type="dxa" w:w="22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容量与成员限制</w:t>
            </w:r>
          </w:p>
        </w:tc>
        <w:tc>
          <w:tcPr>
            <w:tcW w:type="dxa" w:w="31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安全ZIP已有，目录限制不足</w:t>
            </w:r>
          </w:p>
        </w:tc>
        <w:tc>
          <w:tcPr>
            <w:tcW w:type="dxa" w:w="40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处理前限制成员数、总量和遗留ZIP解压容量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目录与链接安全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目录选择为正式流程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允许根、权限、规范化和链接逃逸测试通过</w:t>
            </w:r>
          </w:p>
        </w:tc>
      </w:tr>
      <w:tr>
        <w:tc>
          <w:tcPr>
            <w:tcW w:type="dxa" w:w="22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状态与SSE恢复</w:t>
            </w:r>
          </w:p>
        </w:tc>
        <w:tc>
          <w:tcPr>
            <w:tcW w:type="dxa" w:w="31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当前以本地进程和页面会话为主</w:t>
            </w:r>
          </w:p>
        </w:tc>
        <w:tc>
          <w:tcPr>
            <w:tcW w:type="dxa" w:w="40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刷新/重连显示持久状态；不伪造训练恢复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数据、历史和SQLite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CE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1F4D78"/>
              </w:rPr>
              <w:t>SQLite定位修正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72B4D"/>
              </w:rPr>
              <w:t>Studio可以使用SQLite，但只作为本机单用户的数据集、实验和产物索引库；A0审计继续保留可移植JSON。Cloud使用独立服务端数据库，不能把Studio SQLite直接升级为多租户平台数据库。</w:t>
            </w:r>
          </w:p>
        </w:tc>
      </w:tr>
    </w:tbl>
    <w:p>
      <w:pPr>
        <w:spacing w:after="0"/>
      </w:pP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72B4D"/>
        </w:rPr>
        <w:t>数据集列表：名称、目录引用、任务类型、快照身份、校验状态、最近使用时间。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72B4D"/>
        </w:rPr>
        <w:t>实验索引：普通训练、调优会话、指标、报告、权重、配置和产物位置。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72B4D"/>
        </w:rPr>
        <w:t>历史能力：筛选、标签、归档、运行对比和报告导出。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72B4D"/>
        </w:rPr>
        <w:t>迁移要求：现有experiment history幂等导入；损坏JSON不得被静默覆盖；旧记录保持可读。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72B4D"/>
        </w:rPr>
        <w:t>非目标：Studio SQLite不包含用户、角色、JWT、租户或GPU集群调度。</w:t>
      </w:r>
    </w:p>
    <w:p>
      <w:r>
        <w:br w:type="page"/>
      </w:r>
    </w:p>
    <w:p>
      <w:pPr>
        <w:pStyle w:val="Heading1"/>
        <w:keepNext/>
      </w:pPr>
      <w:r>
        <w:t>5. YOLO版本与任务扩展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172B4D"/>
        </w:rPr>
        <w:t>版本和任务支持必须采用兼容矩阵管理。只有完成真实训练、结果解析、报告、历史、失败路径和UI测试后，才能将对应单元标记为支持。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1300"/>
        <w:gridCol w:w="1300"/>
        <w:gridCol w:w="1100"/>
        <w:gridCol w:w="1400"/>
        <w:gridCol w:w="306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版本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Detect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Segment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OBB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Classify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主要工作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5"/>
              </w:rPr>
              <w:t>YOLOv8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5"/>
              </w:rPr>
              <w:t>已有基线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5"/>
              </w:rPr>
              <w:t>待实现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5"/>
              </w:rPr>
              <w:t>待实现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5"/>
              </w:rPr>
              <w:t>待实现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5"/>
              </w:rPr>
              <w:t>保持detect回归；补任务模型和解析</w:t>
            </w:r>
          </w:p>
        </w:tc>
      </w:tr>
      <w:tr>
        <w:tc>
          <w:tcPr>
            <w:tcW w:type="dxa" w:w="12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5"/>
              </w:rPr>
              <w:t>YOLO11</w:t>
            </w:r>
          </w:p>
        </w:tc>
        <w:tc>
          <w:tcPr>
            <w:tcW w:type="dxa" w:w="13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5"/>
              </w:rPr>
              <w:t>待实现</w:t>
            </w:r>
          </w:p>
        </w:tc>
        <w:tc>
          <w:tcPr>
            <w:tcW w:type="dxa" w:w="13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5"/>
              </w:rPr>
              <w:t>待实现</w:t>
            </w:r>
          </w:p>
        </w:tc>
        <w:tc>
          <w:tcPr>
            <w:tcW w:type="dxa" w:w="11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5"/>
              </w:rPr>
              <w:t>待实现</w:t>
            </w:r>
          </w:p>
        </w:tc>
        <w:tc>
          <w:tcPr>
            <w:tcW w:type="dxa" w:w="14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5"/>
              </w:rPr>
              <w:t>待实现</w:t>
            </w:r>
          </w:p>
        </w:tc>
        <w:tc>
          <w:tcPr>
            <w:tcW w:type="dxa" w:w="30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5"/>
              </w:rPr>
              <w:t>task/version、模型目录、UI和短epoch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5"/>
              </w:rPr>
              <w:t>YOLO26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5"/>
              </w:rPr>
              <w:t>待实现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5"/>
              </w:rPr>
              <w:t>待实现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5"/>
              </w:rPr>
              <w:t>待实现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5"/>
              </w:rPr>
              <w:t>待实现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5"/>
              </w:rPr>
              <w:t>先验证Ultralytics与模型可用性</w:t>
            </w:r>
          </w:p>
        </w:tc>
      </w:tr>
      <w:tr>
        <w:tc>
          <w:tcPr>
            <w:tcW w:type="dxa" w:w="12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5"/>
              </w:rPr>
              <w:t>YOLOv5</w:t>
            </w:r>
          </w:p>
        </w:tc>
        <w:tc>
          <w:tcPr>
            <w:tcW w:type="dxa" w:w="13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5"/>
              </w:rPr>
              <w:t>后置兼容</w:t>
            </w:r>
          </w:p>
        </w:tc>
        <w:tc>
          <w:tcPr>
            <w:tcW w:type="dxa" w:w="13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5"/>
              </w:rPr>
              <w:t>另评估</w:t>
            </w:r>
          </w:p>
        </w:tc>
        <w:tc>
          <w:tcPr>
            <w:tcW w:type="dxa" w:w="11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5"/>
              </w:rPr>
              <w:t>不优先</w:t>
            </w:r>
          </w:p>
        </w:tc>
        <w:tc>
          <w:tcPr>
            <w:tcW w:type="dxa" w:w="14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5"/>
              </w:rPr>
              <w:t>另评估</w:t>
            </w:r>
          </w:p>
        </w:tc>
        <w:tc>
          <w:tcPr>
            <w:tcW w:type="dxa" w:w="30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5"/>
              </w:rPr>
              <w:t>独立train.py命令和旧结果列映射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5.1 版本框架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72B4D"/>
        </w:rPr>
        <w:t>配置增加task/version/model_catalog，并贯穿UI、普通训练、调优、审计、历史和报告。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72B4D"/>
        </w:rPr>
        <w:t>升级Ultralytics前先建立版本锁定与回归矩阵，避免新版本破坏YOLOv8基线。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72B4D"/>
        </w:rPr>
        <w:t>不同版本的CLI和results.csv差异进入适配器，不散落在业务代码中。</w:t>
      </w:r>
    </w:p>
    <w:p>
      <w:pPr>
        <w:pStyle w:val="Heading2"/>
        <w:keepNext/>
      </w:pPr>
      <w:r>
        <w:t>5.2 任务类型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4100"/>
        <w:gridCol w:w="37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任务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数据与分析改动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指标/UI改动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Detect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作为跨版本回归基线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四项KPI、审计和统一历史保持一致</w:t>
            </w:r>
          </w:p>
        </w:tc>
      </w:tr>
      <w:tr>
        <w:tc>
          <w:tcPr>
            <w:tcW w:type="dxa" w:w="15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Segment</w:t>
            </w:r>
          </w:p>
        </w:tc>
        <w:tc>
          <w:tcPr>
            <w:tcW w:type="dxa" w:w="41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多边形标签、mask预览和数据质量</w:t>
            </w:r>
          </w:p>
        </w:tc>
        <w:tc>
          <w:tcPr>
            <w:tcW w:type="dxa" w:w="37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分割指标、损失列、模型和报告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OBB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旋转框坐标、角度、可视化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旋转框指标映射和任务模型</w:t>
            </w:r>
          </w:p>
        </w:tc>
      </w:tr>
      <w:tr>
        <w:tc>
          <w:tcPr>
            <w:tcW w:type="dxa" w:w="15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Classify</w:t>
            </w:r>
          </w:p>
        </w:tc>
        <w:tc>
          <w:tcPr>
            <w:tcW w:type="dxa" w:w="41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按类别目录；不沿用检测data.yaml</w:t>
            </w:r>
          </w:p>
        </w:tc>
        <w:tc>
          <w:tcPr>
            <w:tcW w:type="dxa" w:w="37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top1/top5、评分、报告和训练界面重做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5.3 单元验收标准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172B4D"/>
        </w:rPr>
        <w:t>每个版本×任务单元至少完成：最小合法数据集、短epoch训练、结果解析、Module B报告、统一历史、参数审计、错误路径、UI选择和旧流程回归。</w:t>
      </w:r>
    </w:p>
    <w:p>
      <w:r>
        <w:br w:type="page"/>
      </w:r>
    </w:p>
    <w:p>
      <w:pPr>
        <w:pStyle w:val="Heading1"/>
        <w:keepNext/>
      </w:pPr>
      <w:r>
        <w:t>6. Linux、安装与操作交付</w:t>
      </w:r>
    </w:p>
    <w:p>
      <w:pPr>
        <w:pStyle w:val="Heading2"/>
        <w:keepNext/>
      </w:pPr>
      <w:r>
        <w:t>6.1 Linux适配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4660"/>
        <w:gridCol w:w="300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工作包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具体内容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验收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环境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environment-linux.yml；移除pyreadline3；CPU/GPU PyTorch说明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目标发行版创建环境成功</w:t>
            </w:r>
          </w:p>
        </w:tc>
      </w:tr>
      <w:tr>
        <w:tc>
          <w:tcPr>
            <w:tcW w:type="dxa" w:w="17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脚本</w:t>
            </w:r>
          </w:p>
        </w:tc>
        <w:tc>
          <w:tcPr>
            <w:tcW w:type="dxa" w:w="46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setup/start_server/start_app/run_tests/build_package .sh</w:t>
            </w:r>
          </w:p>
        </w:tc>
        <w:tc>
          <w:tcPr>
            <w:tcW w:type="dxa" w:w="30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可重复执行并返回明确错误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路径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支持/、用户目录、权限、根目录父级、大小写和符号链接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目录选择与路径安全测试通过</w:t>
            </w:r>
          </w:p>
        </w:tc>
      </w:tr>
      <w:tr>
        <w:tc>
          <w:tcPr>
            <w:tcW w:type="dxa" w:w="17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编码</w:t>
            </w:r>
          </w:p>
        </w:tc>
        <w:tc>
          <w:tcPr>
            <w:tcW w:type="dxa" w:w="46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清理盘符、反斜杠、绝对路径和GBK假设</w:t>
            </w:r>
          </w:p>
        </w:tc>
        <w:tc>
          <w:tcPr>
            <w:tcW w:type="dxa" w:w="30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pytest在Linux通过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网络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支持0.0.0.0局域网监听并提示安全边界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可配置绑定地址，不默认暴露公网</w:t>
            </w:r>
          </w:p>
        </w:tc>
      </w:tr>
      <w:tr>
        <w:tc>
          <w:tcPr>
            <w:tcW w:type="dxa" w:w="17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真实训练</w:t>
            </w:r>
          </w:p>
        </w:tc>
        <w:tc>
          <w:tcPr>
            <w:tcW w:type="dxa" w:w="46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GPU/CUDA/模型权重/短epoch</w:t>
            </w:r>
          </w:p>
        </w:tc>
        <w:tc>
          <w:tcPr>
            <w:tcW w:type="dxa" w:w="30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指标、历史与Windows口径一致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 安装、升级与卸载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2500"/>
        <w:gridCol w:w="2300"/>
        <w:gridCol w:w="30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交付项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Windows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Linux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共同验收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联网安装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安装器或setup.bat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setup.sh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依赖失败可诊断、可重试</w:t>
            </w:r>
          </w:p>
        </w:tc>
      </w:tr>
      <w:tr>
        <w:tc>
          <w:tcPr>
            <w:tcW w:type="dxa" w:w="15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离线安装</w:t>
            </w:r>
          </w:p>
        </w:tc>
        <w:tc>
          <w:tcPr>
            <w:tcW w:type="dxa" w:w="25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运行环境、依赖、可选权重包</w:t>
            </w:r>
          </w:p>
        </w:tc>
        <w:tc>
          <w:tcPr>
            <w:tcW w:type="dxa" w:w="23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离线包或内部镜像</w:t>
            </w:r>
          </w:p>
        </w:tc>
        <w:tc>
          <w:tcPr>
            <w:tcW w:type="dxa" w:w="30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断网完成核心训练闭环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首次向导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目录/GPU/LLM/模型检测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同等能力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不要求操作员直接写真实密钥</w:t>
            </w:r>
          </w:p>
        </w:tc>
      </w:tr>
      <w:tr>
        <w:tc>
          <w:tcPr>
            <w:tcW w:type="dxa" w:w="15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启动停止</w:t>
            </w:r>
          </w:p>
        </w:tc>
        <w:tc>
          <w:tcPr>
            <w:tcW w:type="dxa" w:w="25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快捷脚本</w:t>
            </w:r>
          </w:p>
        </w:tc>
        <w:tc>
          <w:tcPr>
            <w:tcW w:type="dxa" w:w="23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脚本；可选systemd</w:t>
            </w:r>
          </w:p>
        </w:tc>
        <w:tc>
          <w:tcPr>
            <w:tcW w:type="dxa" w:w="30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不遗留孤儿训练进程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升级迁移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配置/Schema/历史迁移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同等能力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失败可回退、旧记录可读</w:t>
            </w:r>
          </w:p>
        </w:tc>
      </w:tr>
      <w:tr>
        <w:tc>
          <w:tcPr>
            <w:tcW w:type="dxa" w:w="15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卸载</w:t>
            </w:r>
          </w:p>
        </w:tc>
        <w:tc>
          <w:tcPr>
            <w:tcW w:type="dxa" w:w="25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程序与用户数据分离</w:t>
            </w:r>
          </w:p>
        </w:tc>
        <w:tc>
          <w:tcPr>
            <w:tcW w:type="dxa" w:w="23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同等能力</w:t>
            </w:r>
          </w:p>
        </w:tc>
        <w:tc>
          <w:tcPr>
            <w:tcW w:type="dxa" w:w="30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默认不删数据、权重和历史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必备文档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72B4D"/>
        </w:rPr>
        <w:t>快速开始与操作人员手册；Windows安装和离线部署指南；Linux安装与服务指南。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72B4D"/>
        </w:rPr>
        <w:t>配置参考、模型资源准备、目录结构、备份恢复、升级迁移和故障排查。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72B4D"/>
        </w:rPr>
        <w:t>Research独立提供实验环境指南；Cloud独立提供管理员、部署、运维和CVAT集成指南。</w:t>
      </w:r>
    </w:p>
    <w:p>
      <w:r>
        <w:br w:type="page"/>
      </w:r>
    </w:p>
    <w:p>
      <w:pPr>
        <w:pStyle w:val="Heading1"/>
        <w:keepNext/>
      </w:pPr>
      <w:r>
        <w:t>7. 生态架构与安装原则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1F4D78"/>
              </w:rPr>
              <w:t>架构原则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72B4D"/>
              </w:rPr>
              <w:t>共享协议，不共享安装；共享经过稳定验证的算法库，不共享进程生命周期；允许数据互通，不允许跨产品隐式调用。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4300"/>
        <w:gridCol w:w="33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层次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职责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交付方式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产品应用层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Studio / Research / Cloud 各自UI、API、权限和工作流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三个独立发布物</w:t>
            </w:r>
          </w:p>
        </w:tc>
      </w:tr>
      <w:tr>
        <w:tc>
          <w:tcPr>
            <w:tcW w:type="dxa" w:w="17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产品服务层</w:t>
            </w:r>
          </w:p>
        </w:tc>
        <w:tc>
          <w:tcPr>
            <w:tcW w:type="dxa" w:w="43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本地执行、研究执行、云端编排分别实现</w:t>
            </w:r>
          </w:p>
        </w:tc>
        <w:tc>
          <w:tcPr>
            <w:tcW w:type="dxa" w:w="33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不强制共用进程或数据层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可选共享库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稳定的指标解析、结构Schema、审计数据类型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语义版本化；产品可选择内置</w:t>
            </w:r>
          </w:p>
        </w:tc>
      </w:tr>
      <w:tr>
        <w:tc>
          <w:tcPr>
            <w:tcW w:type="dxa" w:w="17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生态协议层</w:t>
            </w:r>
          </w:p>
        </w:tc>
        <w:tc>
          <w:tcPr>
            <w:tcW w:type="dxa" w:w="43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数据快照、实验、事件、决策、产物和审计格式</w:t>
            </w:r>
          </w:p>
        </w:tc>
        <w:tc>
          <w:tcPr>
            <w:tcW w:type="dxa" w:w="33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公开Schema与兼容性测试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适配器层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Trackio、MLflow、CVAT、对象存储、LLM供应商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可选，不进入核心协议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7.1 最小协议集合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6960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协议对象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解决的问题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DatasetSnapshot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跨实验确定数据身份、划分和校验摘要</w:t>
            </w:r>
          </w:p>
        </w:tc>
      </w:tr>
      <w:tr>
        <w:tc>
          <w:tcPr>
            <w:tcW w:type="dxa" w:w="24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ExperimentSpec</w:t>
            </w:r>
          </w:p>
        </w:tc>
        <w:tc>
          <w:tcPr>
            <w:tcW w:type="dxa" w:w="69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明确目标、候选变更、预算和禁止项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TrainingManifest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记录真实环境、命令、配置与事实来源</w:t>
            </w:r>
          </w:p>
        </w:tc>
      </w:tr>
      <w:tr>
        <w:tc>
          <w:tcPr>
            <w:tcW w:type="dxa" w:w="24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TrialRecord</w:t>
            </w:r>
          </w:p>
        </w:tc>
        <w:tc>
          <w:tcPr>
            <w:tcW w:type="dxa" w:w="69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统一实验状态、指标、资源与父子关系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TrainingEvent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用结构化ERROR/WARN/INFO替代脆弱日志解析</w:t>
            </w:r>
          </w:p>
        </w:tc>
      </w:tr>
      <w:tr>
        <w:tc>
          <w:tcPr>
            <w:tcW w:type="dxa" w:w="24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AgentDecision</w:t>
            </w:r>
          </w:p>
        </w:tc>
        <w:tc>
          <w:tcPr>
            <w:tcW w:type="dxa" w:w="69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保存诊断、理由、候选动作、护栏和最终动作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ArtifactManifest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描述权重、报告、曲线、日志和结构文件</w:t>
            </w:r>
          </w:p>
        </w:tc>
      </w:tr>
      <w:tr>
        <w:tc>
          <w:tcPr>
            <w:tcW w:type="dxa" w:w="24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AuditRecord</w:t>
            </w:r>
          </w:p>
        </w:tc>
        <w:tc>
          <w:tcPr>
            <w:tcW w:type="dxa" w:w="69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形成不可绕过的执行证据和结构化错误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172B4D"/>
        </w:rPr>
        <w:t>协议必须独立版本化；新增字段保持旧记录可读；缺失值与真实零值分离；时间带时区；指标注明final/best/aggregate口径。</w:t>
      </w:r>
    </w:p>
    <w:p>
      <w:r>
        <w:br w:type="page"/>
      </w:r>
    </w:p>
    <w:p>
      <w:pPr>
        <w:pStyle w:val="Heading1"/>
        <w:keepNext/>
      </w:pPr>
      <w:r>
        <w:t>8. 外部研究资料带来的设计修正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2600"/>
        <w:gridCol w:w="2900"/>
        <w:gridCol w:w="23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参考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主要启发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吸收方式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不照搬内容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AgentHPO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Creator/Executor与历史反馈闭环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强化Studio的目标、预算、记忆筛选和总结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Agent直接写配置/执行代码的宽权限</w:t>
            </w:r>
          </w:p>
        </w:tc>
      </w:tr>
      <w:tr>
        <w:tc>
          <w:tcPr>
            <w:tcW w:type="dxa" w:w="15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Trackio ML Agents</w:t>
            </w:r>
          </w:p>
        </w:tc>
        <w:tc>
          <w:tcPr>
            <w:tcW w:type="dxa" w:w="26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结构化告警、JSON API、增量轮询、MCP</w:t>
            </w:r>
          </w:p>
        </w:tc>
        <w:tc>
          <w:tcPr>
            <w:tcW w:type="dxa" w:w="29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定义TrainingEvent并提供可选适配器</w:t>
            </w:r>
          </w:p>
        </w:tc>
        <w:tc>
          <w:tcPr>
            <w:tcW w:type="dxa" w:w="23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将Trackio设为Studio强依赖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autoresearch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固定预算、单一可改面、keep/discard/crash实验账本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作为Research状态机和安全边界参考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任意改核心仓库、自动reset和无限循环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8.1 对 Studio 的影响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72B4D"/>
        </w:rPr>
        <w:t>显式声明主目标、辅助目标和资源预算。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72B4D"/>
        </w:rPr>
        <w:t>从历史中选择最佳、最近、相似和失败实验，避免上下文无限增长。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72B4D"/>
        </w:rPr>
        <w:t>训练结束生成参数影响、收益、成本和正式配置建议。</w:t>
      </w:r>
    </w:p>
    <w:p>
      <w:pPr>
        <w:pStyle w:val="Heading2"/>
        <w:keepNext/>
      </w:pPr>
      <w:r>
        <w:t>8.2 对 Research 的影响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72B4D"/>
        </w:rPr>
        <w:t>固定评估事实层，限制可修改文件和依赖。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72B4D"/>
        </w:rPr>
        <w:t>每轮实验均有状态、理由、指标、显存、复杂度和产物。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72B4D"/>
        </w:rPr>
        <w:t>先开放结构化配置，再逐步开放注册模块和受控代码。</w:t>
      </w:r>
    </w:p>
    <w:p>
      <w:pPr>
        <w:pStyle w:val="Heading2"/>
        <w:keepNext/>
      </w:pPr>
      <w:r>
        <w:t>8.3 对 Cloud 的影响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72B4D"/>
        </w:rPr>
        <w:t>将结构化训练事件作为Worker与控制面的协议。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72B4D"/>
        </w:rPr>
        <w:t>支持增量消费事件、告警和任务恢复。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72B4D"/>
        </w:rPr>
        <w:t>Trackio可作为可选实验可观测适配器，而不是平台数据模型。</w:t>
      </w:r>
    </w:p>
    <w:p>
      <w:r>
        <w:br w:type="page"/>
      </w:r>
    </w:p>
    <w:p>
      <w:pPr>
        <w:pStyle w:val="Heading1"/>
        <w:keepNext/>
      </w:pPr>
      <w:r>
        <w:t>9. 分产品路线与验收出口</w:t>
      </w:r>
    </w:p>
    <w:p>
      <w:pPr>
        <w:pStyle w:val="Heading2"/>
        <w:keepNext/>
      </w:pPr>
      <w:r>
        <w:t>9.1 Studio 路线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300"/>
        <w:gridCol w:w="45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阶段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范围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验收出口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S1 可靠性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日志、快照、密钥、容量限制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不破坏v0.1审计/历史；相关测试与真实目录流程通过</w:t>
            </w:r>
          </w:p>
        </w:tc>
      </w:tr>
      <w:tr>
        <w:tc>
          <w:tcPr>
            <w:tcW w:type="dxa" w:w="15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S2 本地数据层</w:t>
            </w:r>
          </w:p>
        </w:tc>
        <w:tc>
          <w:tcPr>
            <w:tcW w:type="dxa" w:w="33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SQLite、多数据集、历史对比</w:t>
            </w:r>
          </w:p>
        </w:tc>
        <w:tc>
          <w:tcPr>
            <w:tcW w:type="dxa" w:w="45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JSON迁移、损坏保护和索引一致性通过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S3 安装交付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Linux、联网/离线安装、升级卸载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Windows/Linux短epoch和安装矩阵通过</w:t>
            </w:r>
          </w:p>
        </w:tc>
      </w:tr>
      <w:tr>
        <w:tc>
          <w:tcPr>
            <w:tcW w:type="dxa" w:w="15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S4 版本框架</w:t>
            </w:r>
          </w:p>
        </w:tc>
        <w:tc>
          <w:tcPr>
            <w:tcW w:type="dxa" w:w="33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YOLO11/26、task/version适配</w:t>
            </w:r>
          </w:p>
        </w:tc>
        <w:tc>
          <w:tcPr>
            <w:tcW w:type="dxa" w:w="45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至少两版本短epoch、指标、历史和UI一致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S5 任务扩展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分割、OBB、分类、v5后置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每个矩阵单元独立验收</w:t>
            </w:r>
          </w:p>
        </w:tc>
      </w:tr>
      <w:tr>
        <w:tc>
          <w:tcPr>
            <w:tcW w:type="dxa" w:w="15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S6 体验/HPO</w:t>
            </w:r>
          </w:p>
        </w:tc>
        <w:tc>
          <w:tcPr>
            <w:tcW w:type="dxa" w:w="33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SSE恢复、一键分析、目标预算记忆总结</w:t>
            </w:r>
          </w:p>
        </w:tc>
        <w:tc>
          <w:tcPr>
            <w:tcW w:type="dxa" w:w="45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终止策略可审计、总结可复现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9.2 Research 路线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3500"/>
        <w:gridCol w:w="466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阶段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范围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验收出口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R0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研究协议与固定评估层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数据、指标、预算和环境可复现</w:t>
            </w:r>
          </w:p>
        </w:tc>
      </w:tr>
      <w:tr>
        <w:tc>
          <w:tcPr>
            <w:tcW w:type="dxa" w:w="12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R1</w:t>
            </w:r>
          </w:p>
        </w:tc>
        <w:tc>
          <w:tcPr>
            <w:tcW w:type="dxa" w:w="35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结构解析</w:t>
            </w:r>
          </w:p>
        </w:tc>
        <w:tc>
          <w:tcPr>
            <w:tcW w:type="dxa" w:w="46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拓扑、参数量、FLOPs与源码事实一致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R2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模板与注册模块组合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无任意代码执行；变体可构建和预检</w:t>
            </w:r>
          </w:p>
        </w:tc>
      </w:tr>
      <w:tr>
        <w:tc>
          <w:tcPr>
            <w:tcW w:type="dxa" w:w="12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R3</w:t>
            </w:r>
          </w:p>
        </w:tc>
        <w:tc>
          <w:tcPr>
            <w:tcW w:type="dxa" w:w="35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自动消融</w:t>
            </w:r>
          </w:p>
        </w:tc>
        <w:tc>
          <w:tcPr>
            <w:tcW w:type="dxa" w:w="46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keep/discard/crash/invalid/review闭环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R4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受控代码研究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沙箱、回滚、依赖和安全评审通过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9.3 Cloud 路线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3500"/>
        <w:gridCol w:w="466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阶段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范围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验收出口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C0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API、租户、任务、Worker、存储契约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架构评审和最小端到端原型通过</w:t>
            </w:r>
          </w:p>
        </w:tc>
      </w:tr>
      <w:tr>
        <w:tc>
          <w:tcPr>
            <w:tcW w:type="dxa" w:w="12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C1</w:t>
            </w:r>
          </w:p>
        </w:tc>
        <w:tc>
          <w:tcPr>
            <w:tcW w:type="dxa" w:w="35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认证、项目、队列、GPU、恢复、审计</w:t>
            </w:r>
          </w:p>
        </w:tc>
        <w:tc>
          <w:tcPr>
            <w:tcW w:type="dxa" w:w="46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隔离、幂等、重启恢复和并发测试通过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C2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CVAT双向集成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导出、训练、模型回传、自动标注和补偿通过</w:t>
            </w:r>
          </w:p>
        </w:tc>
      </w:tr>
      <w:tr>
        <w:tc>
          <w:tcPr>
            <w:tcW w:type="dxa" w:w="12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C3</w:t>
            </w:r>
          </w:p>
        </w:tc>
        <w:tc>
          <w:tcPr>
            <w:tcW w:type="dxa" w:w="35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配额、监控、备份、多节点</w:t>
            </w:r>
          </w:p>
        </w:tc>
        <w:tc>
          <w:tcPr>
            <w:tcW w:type="dxa" w:w="46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运营与灾备演练通过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10. 工作量、团队与排期判断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172B4D"/>
        </w:rPr>
        <w:t>以下为单名熟悉项目的工程人员在需求稳定、环境可用情况下的开发人日区间。人日不等于自然日；安全评审、真实数据、部署联调、等待GPU和返工应另计。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00"/>
        <w:gridCol w:w="2100"/>
        <w:gridCol w:w="1000"/>
        <w:gridCol w:w="1100"/>
        <w:gridCol w:w="3760"/>
      </w:tblGrid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产品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阶段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人日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难度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主要能力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Studio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S1 可靠性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3–6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中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Python/FastAPI/文件安全/测试</w:t>
            </w:r>
          </w:p>
        </w:tc>
      </w:tr>
      <w:tr>
        <w:tc>
          <w:tcPr>
            <w:tcW w:type="dxa" w:w="14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Studio</w:t>
            </w:r>
          </w:p>
        </w:tc>
        <w:tc>
          <w:tcPr>
            <w:tcW w:type="dxa" w:w="21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S2 SQLite/多数据集</w:t>
            </w:r>
          </w:p>
        </w:tc>
        <w:tc>
          <w:tcPr>
            <w:tcW w:type="dxa" w:w="10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6–12</w:t>
            </w:r>
          </w:p>
        </w:tc>
        <w:tc>
          <w:tcPr>
            <w:tcW w:type="dxa" w:w="11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中高</w:t>
            </w:r>
          </w:p>
        </w:tc>
        <w:tc>
          <w:tcPr>
            <w:tcW w:type="dxa" w:w="37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迁移/索引/历史对比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Studio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S3 Linux/安装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8–16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中高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跨平台/打包/GPU验证</w:t>
            </w:r>
          </w:p>
        </w:tc>
      </w:tr>
      <w:tr>
        <w:tc>
          <w:tcPr>
            <w:tcW w:type="dxa" w:w="14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Studio</w:t>
            </w:r>
          </w:p>
        </w:tc>
        <w:tc>
          <w:tcPr>
            <w:tcW w:type="dxa" w:w="21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S4 版本框架</w:t>
            </w:r>
          </w:p>
        </w:tc>
        <w:tc>
          <w:tcPr>
            <w:tcW w:type="dxa" w:w="10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4–8</w:t>
            </w:r>
          </w:p>
        </w:tc>
        <w:tc>
          <w:tcPr>
            <w:tcW w:type="dxa" w:w="11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中</w:t>
            </w:r>
          </w:p>
        </w:tc>
        <w:tc>
          <w:tcPr>
            <w:tcW w:type="dxa" w:w="37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Ultralytics/兼容适配/真实训练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Studio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S5 任务扩展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8–18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高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多任务数据/指标/UI</w:t>
            </w:r>
          </w:p>
        </w:tc>
      </w:tr>
      <w:tr>
        <w:tc>
          <w:tcPr>
            <w:tcW w:type="dxa" w:w="14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Studio</w:t>
            </w:r>
          </w:p>
        </w:tc>
        <w:tc>
          <w:tcPr>
            <w:tcW w:type="dxa" w:w="21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S6 体验/HPO</w:t>
            </w:r>
          </w:p>
        </w:tc>
        <w:tc>
          <w:tcPr>
            <w:tcW w:type="dxa" w:w="10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6–12</w:t>
            </w:r>
          </w:p>
        </w:tc>
        <w:tc>
          <w:tcPr>
            <w:tcW w:type="dxa" w:w="11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中高</w:t>
            </w:r>
          </w:p>
        </w:tc>
        <w:tc>
          <w:tcPr>
            <w:tcW w:type="dxa" w:w="37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状态恢复/编排/Agent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Research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R0/R1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8–15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高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模型结构/图解析/实验协议</w:t>
            </w:r>
          </w:p>
        </w:tc>
      </w:tr>
      <w:tr>
        <w:tc>
          <w:tcPr>
            <w:tcW w:type="dxa" w:w="14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Research</w:t>
            </w:r>
          </w:p>
        </w:tc>
        <w:tc>
          <w:tcPr>
            <w:tcW w:type="dxa" w:w="21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R2/R3</w:t>
            </w:r>
          </w:p>
        </w:tc>
        <w:tc>
          <w:tcPr>
            <w:tcW w:type="dxa" w:w="10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12–25</w:t>
            </w:r>
          </w:p>
        </w:tc>
        <w:tc>
          <w:tcPr>
            <w:tcW w:type="dxa" w:w="11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高</w:t>
            </w:r>
          </w:p>
        </w:tc>
        <w:tc>
          <w:tcPr>
            <w:tcW w:type="dxa" w:w="37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模块注册/消融/资源治理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Research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R4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15–30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很高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沙箱/代码变更/安全</w:t>
            </w:r>
          </w:p>
        </w:tc>
      </w:tr>
      <w:tr>
        <w:tc>
          <w:tcPr>
            <w:tcW w:type="dxa" w:w="14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Cloud</w:t>
            </w:r>
          </w:p>
        </w:tc>
        <w:tc>
          <w:tcPr>
            <w:tcW w:type="dxa" w:w="21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C0</w:t>
            </w:r>
          </w:p>
        </w:tc>
        <w:tc>
          <w:tcPr>
            <w:tcW w:type="dxa" w:w="10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5–10</w:t>
            </w:r>
          </w:p>
        </w:tc>
        <w:tc>
          <w:tcPr>
            <w:tcW w:type="dxa" w:w="11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高</w:t>
            </w:r>
          </w:p>
        </w:tc>
        <w:tc>
          <w:tcPr>
            <w:tcW w:type="dxa" w:w="37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分布式架构/状态机/契约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Cloud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C1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25–45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很高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后端/队列/GPU/安全/运维</w:t>
            </w:r>
          </w:p>
        </w:tc>
      </w:tr>
      <w:tr>
        <w:tc>
          <w:tcPr>
            <w:tcW w:type="dxa" w:w="14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Cloud</w:t>
            </w:r>
          </w:p>
        </w:tc>
        <w:tc>
          <w:tcPr>
            <w:tcW w:type="dxa" w:w="21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C2</w:t>
            </w:r>
          </w:p>
        </w:tc>
        <w:tc>
          <w:tcPr>
            <w:tcW w:type="dxa" w:w="10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12–25</w:t>
            </w:r>
          </w:p>
        </w:tc>
        <w:tc>
          <w:tcPr>
            <w:tcW w:type="dxa" w:w="11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很高</w:t>
            </w:r>
          </w:p>
        </w:tc>
        <w:tc>
          <w:tcPr>
            <w:tcW w:type="dxa" w:w="37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CVAT/Django/API/补偿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Cloud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C3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15–30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很高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可观测性/灾备/扩展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CE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1F4D78"/>
              </w:rPr>
              <w:t>估算修正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72B4D"/>
              </w:rPr>
              <w:t>原在线平台 11–18 天只适合原型级范围。若要求多租户隔离、可靠队列、GPU调度、重启恢复、对象存储、审计和CVAT失败补偿，可交付平台的工作量应按 C0–C3 分阶段管理。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10.1 建议团队配置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72B4D"/>
        </w:rPr>
        <w:t>Studio：1名熟悉现有代码的Python工程师，按需配合1名算法工程师和测试人员。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72B4D"/>
        </w:rPr>
        <w:t>Research：至少1名算法研究人员 + 1名Python/训练基础设施工程师；进入R4后需要安全评审。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72B4D"/>
        </w:rPr>
        <w:t>Cloud：至少后端/平台、前端、ML基础设施或运维三类能力，不建议由单人长期承担全部生产责任。</w:t>
      </w:r>
    </w:p>
    <w:p>
      <w:r>
        <w:br w:type="page"/>
      </w:r>
    </w:p>
    <w:p>
      <w:pPr>
        <w:pStyle w:val="Heading1"/>
        <w:keepNext/>
      </w:pPr>
      <w:r>
        <w:t>11. 主要风险与控制措施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2100"/>
        <w:gridCol w:w="3460"/>
        <w:gridCol w:w="170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风险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影响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控制措施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责任产品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LLM建议与实际参数不一致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审计失真、不可复现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候选/护栏/实际值分层；精确命令复用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Studio/Research</w:t>
            </w:r>
          </w:p>
        </w:tc>
      </w:tr>
      <w:tr>
        <w:tc>
          <w:tcPr>
            <w:tcW w:type="dxa" w:w="21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结构实验改写评估层</w:t>
            </w:r>
          </w:p>
        </w:tc>
        <w:tc>
          <w:tcPr>
            <w:tcW w:type="dxa" w:w="21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虚假提升</w:t>
            </w:r>
          </w:p>
        </w:tc>
        <w:tc>
          <w:tcPr>
            <w:tcW w:type="dxa" w:w="34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评估文件只读、签名校验、独立验证</w:t>
            </w:r>
          </w:p>
        </w:tc>
        <w:tc>
          <w:tcPr>
            <w:tcW w:type="dxa" w:w="17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Research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自动代码任意执行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数据/主机安全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隔离工作区、文件白名单、无新增依赖、资源上限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Research</w:t>
            </w:r>
          </w:p>
        </w:tc>
      </w:tr>
      <w:tr>
        <w:tc>
          <w:tcPr>
            <w:tcW w:type="dxa" w:w="21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多租户越权</w:t>
            </w:r>
          </w:p>
        </w:tc>
        <w:tc>
          <w:tcPr>
            <w:tcW w:type="dxa" w:w="21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严重数据泄露</w:t>
            </w:r>
          </w:p>
        </w:tc>
        <w:tc>
          <w:tcPr>
            <w:tcW w:type="dxa" w:w="34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授权模型、对象级校验、隔离测试和审计</w:t>
            </w:r>
          </w:p>
        </w:tc>
        <w:tc>
          <w:tcPr>
            <w:tcW w:type="dxa" w:w="17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Cloud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GPU任务和服务重启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孤儿进程、重复计费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租约、心跳、幂等任务、恢复协调器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Cloud</w:t>
            </w:r>
          </w:p>
        </w:tc>
      </w:tr>
      <w:tr>
        <w:tc>
          <w:tcPr>
            <w:tcW w:type="dxa" w:w="21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CVAT状态不同步</w:t>
            </w:r>
          </w:p>
        </w:tc>
        <w:tc>
          <w:tcPr>
            <w:tcW w:type="dxa" w:w="21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数据与模型链路断裂</w:t>
            </w:r>
          </w:p>
        </w:tc>
        <w:tc>
          <w:tcPr>
            <w:tcW w:type="dxa" w:w="34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状态映射、幂等回调、补偿任务、人工重放</w:t>
            </w:r>
          </w:p>
        </w:tc>
        <w:tc>
          <w:tcPr>
            <w:tcW w:type="dxa" w:w="17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Cloud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共享库过早耦合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三产品发布互相阻塞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先冻结协议；复用稳定后再抽库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全生态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11.1 明确禁止事项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72B4D"/>
        </w:rPr>
        <w:t>不得为了Research能力扩大Studio中LLM的任意文件或命令权限。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72B4D"/>
        </w:rPr>
        <w:t>不得把Studio的本地JSON和subprocess直接包装成生产级Cloud架构。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72B4D"/>
        </w:rPr>
        <w:t>不得把CVAT源码与Auto-Tune合并为单一代码库。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72B4D"/>
        </w:rPr>
        <w:t>不得将Trackio、MLflow或某一LLM供应商写入生态核心协议。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72B4D"/>
        </w:rPr>
        <w:t>不得因为共享品牌而要求三款软件同步版本或同步发布。</w:t>
      </w:r>
    </w:p>
    <w:p>
      <w:r>
        <w:br w:type="page"/>
      </w:r>
    </w:p>
    <w:p>
      <w:pPr>
        <w:pStyle w:val="Heading1"/>
        <w:keepNext/>
      </w:pPr>
      <w:r>
        <w:t>12. 技术 Leader 决策项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3300"/>
        <w:gridCol w:w="39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决策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建议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通过后的动作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产品形态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批准三款独立软件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更新路线、仓库和版本命名</w:t>
            </w:r>
          </w:p>
        </w:tc>
      </w:tr>
      <w:tr>
        <w:tc>
          <w:tcPr>
            <w:tcW w:type="dxa" w:w="21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近期优先级</w:t>
            </w:r>
          </w:p>
        </w:tc>
        <w:tc>
          <w:tcPr>
            <w:tcW w:type="dxa" w:w="33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Studio S1优先</w:t>
            </w:r>
          </w:p>
        </w:tc>
        <w:tc>
          <w:tcPr>
            <w:tcW w:type="dxa" w:w="39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继续小批次规格、编码、独立验收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Research立项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先做R0/R1，不直接开放代码修改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形成研究协议和结构解析规格</w:t>
            </w:r>
          </w:p>
        </w:tc>
      </w:tr>
      <w:tr>
        <w:tc>
          <w:tcPr>
            <w:tcW w:type="dxa" w:w="21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Cloud立项</w:t>
            </w:r>
          </w:p>
        </w:tc>
        <w:tc>
          <w:tcPr>
            <w:tcW w:type="dxa" w:w="33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先完成C0架构验证</w:t>
            </w:r>
          </w:p>
        </w:tc>
        <w:tc>
          <w:tcPr>
            <w:tcW w:type="dxa" w:w="39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评审租户、队列、存储、Worker和CVAT契约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共享方式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协议优先，共享库后置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建立Schema版本和兼容测试</w:t>
            </w:r>
          </w:p>
        </w:tc>
      </w:tr>
      <w:tr>
        <w:tc>
          <w:tcPr>
            <w:tcW w:type="dxa" w:w="21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资源配置</w:t>
            </w:r>
          </w:p>
        </w:tc>
        <w:tc>
          <w:tcPr>
            <w:tcW w:type="dxa" w:w="33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Cloud按平台工程配置团队</w:t>
            </w:r>
          </w:p>
        </w:tc>
        <w:tc>
          <w:tcPr>
            <w:tcW w:type="dxa" w:w="39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单独评估后端、前端、ML基础设施和运维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1F4D78"/>
              </w:rPr>
              <w:t>推荐批准范围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72B4D"/>
              </w:rPr>
              <w:t>本次只批准产品边界与路线重构，不代表同时启动三条研发线。每款软件仍需单独规格、预算、测试计划和发布决策。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13. 下一步行动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00"/>
        <w:gridCol w:w="4200"/>
        <w:gridCol w:w="4160"/>
      </w:tblGrid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顺序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行动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产出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1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完成Studio S1下一小批次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规格、代码、测试、验收报告</w:t>
            </w:r>
          </w:p>
        </w:tc>
      </w:tr>
      <w:tr>
        <w:tc>
          <w:tcPr>
            <w:tcW w:type="dxa" w:w="10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2</w:t>
            </w:r>
          </w:p>
        </w:tc>
        <w:tc>
          <w:tcPr>
            <w:tcW w:type="dxa" w:w="42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冻结生态协议v1最小集合</w:t>
            </w:r>
          </w:p>
        </w:tc>
        <w:tc>
          <w:tcPr>
            <w:tcW w:type="dxa" w:w="41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Schema草案与兼容规则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3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形成Research R0/R1专项规格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研究安全边界、结构解析与验收</w:t>
            </w:r>
          </w:p>
        </w:tc>
      </w:tr>
      <w:tr>
        <w:tc>
          <w:tcPr>
            <w:tcW w:type="dxa" w:w="10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4</w:t>
            </w:r>
          </w:p>
        </w:tc>
        <w:tc>
          <w:tcPr>
            <w:tcW w:type="dxa" w:w="42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开展Cloud C0架构评审</w:t>
            </w:r>
          </w:p>
        </w:tc>
        <w:tc>
          <w:tcPr>
            <w:tcW w:type="dxa" w:w="41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部署拓扑、状态机、存储和CVAT契约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5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按产品线建立独立版本与发布计划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仓库/包名/版本/变更日志策略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附录A：旧计划覆盖核对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2100"/>
        <w:gridCol w:w="1800"/>
        <w:gridCol w:w="28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旧计划内容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新归属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当前状态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处理结论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A0.2日志/快照/密钥/容量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Studio S1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未完成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全部保留，继续小批次实施</w:t>
            </w:r>
          </w:p>
        </w:tc>
      </w:tr>
      <w:tr>
        <w:tc>
          <w:tcPr>
            <w:tcW w:type="dxa" w:w="26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YOLO11/YOLO26</w:t>
            </w:r>
          </w:p>
        </w:tc>
        <w:tc>
          <w:tcPr>
            <w:tcW w:type="dxa" w:w="21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Studio S4</w:t>
            </w:r>
          </w:p>
        </w:tc>
        <w:tc>
          <w:tcPr>
            <w:tcW w:type="dxa" w:w="18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未完成</w:t>
            </w:r>
          </w:p>
        </w:tc>
        <w:tc>
          <w:tcPr>
            <w:tcW w:type="dxa" w:w="28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task/version贯穿全链路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YOLOv5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Studio S5后置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未完成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独立命令和结果适配器</w:t>
            </w:r>
          </w:p>
        </w:tc>
      </w:tr>
      <w:tr>
        <w:tc>
          <w:tcPr>
            <w:tcW w:type="dxa" w:w="26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分割/OBB/分类</w:t>
            </w:r>
          </w:p>
        </w:tc>
        <w:tc>
          <w:tcPr>
            <w:tcW w:type="dxa" w:w="21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Studio S5</w:t>
            </w:r>
          </w:p>
        </w:tc>
        <w:tc>
          <w:tcPr>
            <w:tcW w:type="dxa" w:w="18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未完成</w:t>
            </w:r>
          </w:p>
        </w:tc>
        <w:tc>
          <w:tcPr>
            <w:tcW w:type="dxa" w:w="28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建立版本×任务验收矩阵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Linux迁移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Studio S3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未完成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扩展为真实GPU与安装交付</w:t>
            </w:r>
          </w:p>
        </w:tc>
      </w:tr>
      <w:tr>
        <w:tc>
          <w:tcPr>
            <w:tcW w:type="dxa" w:w="26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联网/离线安装</w:t>
            </w:r>
          </w:p>
        </w:tc>
        <w:tc>
          <w:tcPr>
            <w:tcW w:type="dxa" w:w="21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Studio S3</w:t>
            </w:r>
          </w:p>
        </w:tc>
        <w:tc>
          <w:tcPr>
            <w:tcW w:type="dxa" w:w="18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部分脚本已有</w:t>
            </w:r>
          </w:p>
        </w:tc>
        <w:tc>
          <w:tcPr>
            <w:tcW w:type="dxa" w:w="28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补向导、升级、卸载和文档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SQLite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Studio S2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未完成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本地单用户索引；不承载Cloud租户</w:t>
            </w:r>
          </w:p>
        </w:tc>
      </w:tr>
      <w:tr>
        <w:tc>
          <w:tcPr>
            <w:tcW w:type="dxa" w:w="26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多数据集/历史对比</w:t>
            </w:r>
          </w:p>
        </w:tc>
        <w:tc>
          <w:tcPr>
            <w:tcW w:type="dxa" w:w="21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Studio S2</w:t>
            </w:r>
          </w:p>
        </w:tc>
        <w:tc>
          <w:tcPr>
            <w:tcW w:type="dxa" w:w="18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部分历史已有</w:t>
            </w:r>
          </w:p>
        </w:tc>
        <w:tc>
          <w:tcPr>
            <w:tcW w:type="dxa" w:w="28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补数据集管理、筛选和对比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SSE恢复/一键分析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Studio S6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未完成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本地持久状态与可跳过联网步骤</w:t>
            </w:r>
          </w:p>
        </w:tc>
      </w:tr>
      <w:tr>
        <w:tc>
          <w:tcPr>
            <w:tcW w:type="dxa" w:w="26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用户/队列/GPU并发</w:t>
            </w:r>
          </w:p>
        </w:tc>
        <w:tc>
          <w:tcPr>
            <w:tcW w:type="dxa" w:w="21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Cloud C1</w:t>
            </w:r>
          </w:p>
        </w:tc>
        <w:tc>
          <w:tcPr>
            <w:tcW w:type="dxa" w:w="18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未完成</w:t>
            </w:r>
          </w:p>
        </w:tc>
        <w:tc>
          <w:tcPr>
            <w:tcW w:type="dxa" w:w="28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按平台架构独立建设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CVAT集成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Cloud C2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未完成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API与异步任务双向解耦</w:t>
            </w:r>
          </w:p>
        </w:tc>
      </w:tr>
      <w:tr>
        <w:tc>
          <w:tcPr>
            <w:tcW w:type="dxa" w:w="26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模型结构实验</w:t>
            </w:r>
          </w:p>
        </w:tc>
        <w:tc>
          <w:tcPr>
            <w:tcW w:type="dxa" w:w="21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Research R0-R4</w:t>
            </w:r>
          </w:p>
        </w:tc>
        <w:tc>
          <w:tcPr>
            <w:tcW w:type="dxa" w:w="180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未完成</w:t>
            </w:r>
          </w:p>
        </w:tc>
        <w:tc>
          <w:tcPr>
            <w:tcW w:type="dxa" w:w="2860"/>
            <w:shd w:fill="F8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独立软件，不作为Studio扩展包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附录B：资料依据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72B4D"/>
        </w:rPr>
        <w:t>AgentHPO：Creator/Executor双角色、实验历史记忆和迭代超参数优化；用于强化Studio调优闭环与Research实验设计。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72B4D"/>
        </w:rPr>
        <w:t>Hugging Face Trackio - Running ML Experiments with Agents：结构化告警、JSON接口、增量事件和MCP；用于TrainingEvent与可选适配器设计。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72B4D"/>
        </w:rPr>
        <w:t>karpathy/autoresearch：固定时间预算、单一可改文件、实验账本与keep/discard/crash；用于Research受控自动研究边界。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123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F6B7A"/>
        <w:sz w:val="18"/>
      </w:rPr>
      <w:t xml:space="preserve">第 </w:t>
    </w:r>
    <w:fldSimple w:instr="PAGE"/>
    <w:r>
      <w:rPr>
        <w:rFonts w:ascii="Calibri" w:hAnsi="Calibri" w:eastAsia="Microsoft YaHei"/>
        <w:color w:val="5F6B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5F6B7A"/>
        <w:sz w:val="17"/>
      </w:rPr>
      <w:t>AUTO-TUNE ECOSYSTEM  |  技术路线与实施评估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Auto-Tune 后续研发路线与实施评估（技术 Leader 版）</dc:title>
  <dc:subject>Studio / Research / Cloud 三款独立软件生态方案</dc:subject>
  <dc:creator>Auto-Tune Project</dc:creator>
  <cp:keywords>Auto-Tune, Studio, Research, Cloud, YOLO, HPO, CVAT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