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D97706"/>
        </ns0:pBdr>
      </ns0:pPr>
      <ns0:r>
        <ns0:t>Auto Tune 后续研发实施计划与工期评估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与 Docker 安装适配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与 Docker 安装适配</ns0:t>
      </ns0:r>
    </ns0:p>
    <ns0:p>
      <ns0:pPr>
        <ns0:pStyle ns0:val="Normal"/>
      </ns0:pPr>
      <ns0:r>
        <ns0:t>F1.2 只在 F1.1 冻结基线上开展 Windows 安装与单 Docker 镜像适配，包括启动、配置、升级、卸载、CPU/GPU、健康检查和持久化验证。安装包和镜像不得包含真实配置、密钥、数据集、权重、日志或训练产物。Research、Cloud 和公司平台深度接入不自动随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本文维护 Studio 未完成批次以及 Research/Cloud 的路线级范围、估算和验收门槛；后两者仍须分别建立编码前的独立规格。产品方向见 roadmap_20260814.md；当前已完成事实与测试基线见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1 执行结论</ns0:t>
      </ns0:r>
    </ns0:p>
    <ns0:p>
      <ns0:pPr>
        <ns0:spacing ns0:after="110" ns0:line="340" ns0:lineRule="auto"/>
        <ns0:widowControl/>
      </ns0:pPr>
      <ns0:r>
        <ns0:rPr/>
        <ns0:t xml:space="preserve">Q1 已完成代码实现、Codex 独立验收和艾卡线下体验确认，并已通过 GitHub PR #10 合并至 main。后续按 </ns0:t>
      </ns0:r>
      <ns0:r>
        <ns0:rPr>
          <ns0:b/>
        </ns0:rPr>
        <ns0:t xml:space="preserve">H1 → F1 → S4 → R1 → Cloud 分批实施</ns0:t>
      </ns0:r>
      <ns0:r>
        <ns0:rPr/>
        <ns0:t xml:space="preserve"> 顺序实施。每次只启动一个经艾卡确认的小批次；开始编码前为该批次建立独立规格和可执行任务计划，完成后再更新交接、路线与本文。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300"/>
        <ns0:gridCol ns0:w="1200"/>
        <ns0:gridCol ns0:w="2000"/>
        <ns0:gridCol ns0:w="3900"/>
      </ns0:tblGrid>
      <ns0:tr>
        <ns0:trPr>
          <ns0:cantSplit/>
          <ns0:tblHeader/>
        </ns0:trPr>
        <ns0:tc>
          <ns0:tcPr>
            <ns0:tcW ns0:w="23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2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20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前置条件</ns0:t>
            </ns0:r>
          </ns0:p>
        </ns0:tc>
        <ns0:tc>
          <ns0:tcPr>
            <ns0:tcW ns0:w="39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 完成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固定预算可完成、恢复、比较并确定性选优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1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完成</ns0:t>
            </ns0:r>
          </ns0:p>
        </ns0:tc>
        <ns0:tc>
          <ns0:tcPr>
            <ns0:tcW ns0:w="3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单任务、三策略完成集成回归和真实短训练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冻结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可直接安装；同一镜像的 Server/Engine 模式均可部署、调用和保留数据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2 Q1 LLM 可信度 MVP 已完成并合并至 main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目标</ns0:t>
      </ns0:r>
      <ns0:r>
        <ns0:rPr/>
        <ns0:t xml:space="preserve">：让“模型可说错、系统不执行错”成为可测试约束。</ns0:t>
      </ns0:r>
    </ns0:p>
    <ns0:p>
      <ns0:pPr>
        <ns0:spacing ns0:after="110" ns0:line="340" ns0:lineRule="auto"/>
        <ns0:widowControl/>
      </ns0:pPr>
      <ns0:r>
        <ns0:rPr/>
        <ns0:t xml:space="preserve">交付范围：</ns0:t>
      </ns0:r>
    </ns0:p>
    <ns0:p>
      <ns0:pPr>
        <ns0:spacing ns0:after="110" ns0:line="340" ns0:lineRule="auto"/>
        <ns0:widowControl/>
      </ns0:pPr>
      <ns0:r>
        <ns0:rPr/>
        <ns0:t xml:space="preserve">• 由代码生成版本化事实包，包含来源 ID、值、缺失状态、任务类型和运行绑定。</ns0:t>
      </ns0:r>
    </ns0:p>
    <ns0:p>
      <ns0:pPr>
        <ns0:spacing ns0:after="110" ns0:line="340" ns0:lineRule="auto"/>
        <ns0:widowControl/>
      </ns0:pPr>
      <ns0:r>
        <ns0:rPr/>
        <ns0:t xml:space="preserve">• 为 LLM 决策建立严格 Schema，限制动作、参数、证据引用和理由字段。</ns0:t>
      </ns0:r>
    </ns0:p>
    <ns0:p>
      <ns0:pPr>
        <ns0:spacing ns0:after="110" ns0:line="340" ns0:lineRule="auto"/>
        <ns0:widowControl/>
      </ns0:pPr>
      <ns0:r>
        <ns0:rPr/>
        <ns0:t xml:space="preserve">• 确定性校验指标方向、best/final 语义、缺失值、参数类型/范围/依赖、任务适用性和单轮修改数量。</ns0:t>
      </ns0:r>
    </ns0:p>
    <ns0:p>
      <ns0:pPr>
        <ns0:spacing ns0:after="110" ns0:line="340" ns0:lineRule="auto"/>
        <ns0:widowControl/>
      </ns0:pPr>
      <ns0:r>
        <ns0:rPr/>
        <ns0:t xml:space="preserve">• 校验失败时允许一次结构化纠错；再次失败则记录终态并禁止启动训练。</ns0:t>
      </ns0:r>
    </ns0:p>
    <ns0:p>
      <ns0:pPr>
        <ns0:spacing ns0:after="110" ns0:line="340" ns0:lineRule="auto"/>
        <ns0:widowControl/>
      </ns0:pPr>
      <ns0:r>
        <ns0:rPr/>
        <ns0:t xml:space="preserve">• 最终改善判断、优胜参数和停止条件继续由代码计算。</ns0:t>
      </ns0:r>
    </ns0:p>
    <ns0:p>
      <ns0:pPr>
        <ns0:spacing ns0:after="110" ns0:line="340" ns0:lineRule="auto"/>
        <ns0:widowControl/>
      </ns0:pPr>
      <ns0:r>
        <ns0:rPr/>
        <ns0:t xml:space="preserve">首版不做：第二模型复核、知识图谱、多 Agent 辩论、HPO 结果交给 LLM 裁决。</ns0:t>
      </ns0:r>
    </ns0:p>
    <ns0:p>
      <ns0:pPr>
        <ns0:spacing ns0:after="110" ns0:line="340" ns0:lineRule="auto"/>
        <ns0:widowControl/>
      </ns0:pPr>
      <ns0:r>
        <ns0:rPr/>
        <ns0:t xml:space="preserve">完成记录：Q1.1 事实与证据契约、Q1.2 确定性语义校验、同一事实包的一次纠错、逐次决策审计和审计失败即关闭均已实现。2026-09-02 Codex 独立验收为完整套件 </ns0:t>
      </ns0:r>
      <ns0:r>
        <ns0:rPr>
          <ns0:b/>
        </ns0:rPr>
        <ns0:t xml:space="preserve">1484 passed / 2 warnings / 0 skipped</ns0:t>
      </ns0:r>
      <ns0:r>
        <ns0:rPr/>
        <ns0:t xml:space="preserve">；合法语义决策完成一次最小 Detect CUDA 短训练，三类非法语义决策共六次模型响应均为零命令构造、零训练启动。艾卡已完成线下体验确认，Q1 已通过 GitHub PR #10 合并至 main（功能提交 d6a27f7，合并提交 2e930f6）。语义规则和维护边界见 llm_tuning_semantic_rules.md。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3 H1 Detect HPO MVP 6 至 10 人日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引擎选择</ns0:t>
      </ns0:r>
      <ns0:r>
        <ns0:rPr/>
        <ns0:t xml:space="preserve">：产品使用 Optuna TPE，随机搜索作为基线；Ultralytics 遗传调优只做内部基准比较。</ns0:t>
      </ns0:r>
    </ns0:p>
    <ns0:p>
      <ns0:pPr>
        <ns0:spacing ns0:after="110" ns0:line="340" ns0:lineRule="auto"/>
        <ns0:widowControl/>
      </ns0:pPr>
      <ns0:r>
        <ns0:rPr/>
        <ns0:t xml:space="preserve">首版流程：</ns0:t>
      </ns0:r>
    </ns0:p>
    <ns0:p>
      <ns0:pPr>
        <ns0:spacing ns0:after="110" ns0:line="340" ns0:lineRule="auto"/>
        <ns0:widowControl/>
      </ns0:pPr>
      <ns0:r>
        <ns0:rPr/>
        <ns0:t xml:space="preserve">1. 用户在直接训练、HPO、LLM 三种策略中选择一种。</ns0:t>
      </ns0:r>
    </ns0:p>
    <ns0:p>
      <ns0:pPr>
        <ns0:spacing ns0:after="110" ns0:line="340" ns0:lineRule="auto"/>
        <ns0:widowControl/>
      </ns0:pPr>
      <ns0:r>
        <ns0:rPr/>
        <ns0:t xml:space="preserve">2. HPO 创建独立 study，绑定数据快照、模型、目标指标、预算和搜索空间版本。</ns0:t>
      </ns0:r>
    </ns0:p>
    <ns0:p>
      <ns0:pPr>
        <ns0:spacing ns0:after="110" ns0:line="340" ns0:lineRule="auto"/>
        <ns0:widowControl/>
      </ns0:pPr>
      <ns0:r>
        <ns0:rPr/>
        <ns0:t xml:space="preserve">3. 每个 trial 复用现有训练执行、状态、日志、产物和失败终态。</ns0:t>
      </ns0:r>
    </ns0:p>
    <ns0:p>
      <ns0:pPr>
        <ns0:spacing ns0:after="110" ns0:line="340" ns0:lineRule="auto"/>
        <ns0:widowControl/>
      </ns0:pPr>
      <ns0:r>
        <ns0:rPr/>
        <ns0:t xml:space="preserve">4. 首版搜索约 6 个高价值参数：lr0、lrf、optimizer、条件化 momentum、weight_decay、warmup_epochs。</ns0:t>
      </ns0:r>
    </ns0:p>
    <ns0:p>
      <ns0:pPr>
        <ns0:spacing ns0:after="110" ns0:line="340" ns0:lineRule="auto"/>
        <ns0:widowControl/>
      </ns0:pPr>
      <ns0:r>
        <ns0:rPr/>
        <ns0:t xml:space="preserve">5. 按固定 trial 数顺序执行；超时、OOM、用户停止和非法组合形成明确终态。</ns0:t>
      </ns0:r>
    </ns0:p>
    <ns0:p>
      <ns0:pPr>
        <ns0:spacing ns0:after="110" ns0:line="340" ns0:lineRule="auto"/>
        <ns0:widowControl/>
      </ns0:pPr>
      <ns0:r>
        <ns0:rPr/>
        <ns0:t xml:space="preserve">6. 使用统一指标确定性排名，候选最优参数可再做一次固定配置验证训练。</ns0:t>
      </ns0:r>
    </ns0:p>
    <ns0:p>
      <ns0:pPr>
        <ns0:spacing ns0:after="110" ns0:line="340" ns0:lineRule="auto"/>
        <ns0:widowControl/>
      </ns0:pPr>
      <ns0:r>
        <ns0:rPr/>
        <ns0:t xml:space="preserve">首版不做：Ray、并行调度、多目标优化、复杂剪枝、自动扩大搜索空间。</ns0:t>
      </ns0:r>
    </ns0:p>
    <ns0:p>
      <ns0:pPr>
        <ns0:spacing ns0:after="110" ns0:line="340" ns0:lineRule="auto"/>
        <ns0:widowControl/>
      </ns0:pPr>
      <ns0:r>
        <ns0:rPr/>
        <ns0:t xml:space="preserve">验收门槛：TPE 与随机基线均可运行；study 可恢复；失败 trial 不污染优胜结果；同一指标口径可回溯到原始产物；无 LLM 凭据时 HPO 完整可用。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w:r xmlns:w="http://schemas.openxmlformats.org/wordprocessingml/2006/main">
        <w:t>编码入口：H1.1、H1.2 均已独立验收通过；当前无未完成 H1.2 返修项。下一步由 Codex 制定 H1.3 Studio 接入规格与计划，不复用已归档的 H1.2 编码或返修提示词。</w:t>
      </w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4 F1 Detect 单任务冻结 3 至 5 人日 </ns0:t>
      </ns0:r>
    </ns0:p>
    <ns0:p>
      <ns0:pPr>
        <ns0:spacing ns0:after="110" ns0:line="340" ns0:lineRule="auto"/>
        <ns0:widowControl/>
      </ns0:pPr>
      <ns0:r>
        <ns0:rPr/>
        <ns0:t xml:space="preserve">• 完整自动化回归。</ns0:t>
      </ns0:r>
    </ns0:p>
    <ns0:p>
      <ns0:pPr>
        <ns0:spacing ns0:after="110" ns0:line="340" ns0:lineRule="auto"/>
        <ns0:widowControl/>
      </ns0:pPr>
      <ns0:r>
        <ns0:rPr/>
        <ns0:t xml:space="preserve">• Detect 执行直接训练、LLM、HPO 的代表性路径。</ns0:t>
      </ns0:r>
    </ns0:p>
    <ns0:p>
      <ns0:pPr>
        <ns0:spacing ns0:after="110" ns0:line="340" ns0:lineRule="auto"/>
        <ns0:widowControl/>
      </ns0:pPr>
      <ns0:r>
        <ns0:rPr/>
        <ns0:t xml:space="preserve">• Detect 完成最小真实短训练和失败/停止/恢复验证。</ns0:t>
      </ns0:r>
    </ns0:p>
    <ns0:p>
      <ns0:pPr>
        <ns0:spacing ns0:after="110" ns0:line="340" ns0:lineRule="auto"/>
        <ns0:widowControl/>
      </ns0:pPr>
      <ns0:r>
        <ns0:rPr/>
        <ns0:t xml:space="preserve">• 固化依赖、配置模板、数据协议和用户操作说明。</ns0:t>
      </ns0:r>
    </ns0:p>
    <ns0:p>
      <ns0:pPr>
        <ns0:spacing ns0:after="110" ns0:line="340" ns0:lineRule="auto"/>
        <ns0:widowControl/>
      </ns0:pPr>
      <ns0:r>
        <ns0:rPr/>
        <ns0:t xml:space="preserve">• 冻结后才允许进入跨平台封装，避免容器化期间继续变更核心业务接口。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5 S4 Windows 单 Docker 镜像与 API 交付 17 至 29 人日 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子项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主要内容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统一任务 API 与服务内核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4–6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/api/v1/jobs，覆盖分析、三种训练策略、结果分析、状态、日志、停止与产物查询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Windows 直接安装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安装包、运行依赖、配置、启动入口、升级/卸载和数据保留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单 Docker 镜像双模式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同一镜像的 Server/Engine 启动模式、GPU/CPU 运行、健康检查与持久化目录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平台接口与安全边界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鉴权、输入输出协议、受控目录/NAS、错误码、幂等与调用示例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集成交付验收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2–4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Windows、Server、Engine 三种入口的Detect 单任务短训练、重启恢复和文档核对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1 单镜像运行方式</ns0:t>
      </ns0:r>
    </ns0:p>
    <ns0:p>
      <ns0:pPr>
        <ns0:spacing ns0:after="110" ns0:line="340" ns0:lineRule="auto"/>
        <ns0:widowControl/>
      </ns0:pPr>
      <ns0:r>
        <ns0:rPr/>
        <ns0:t xml:space="preserve">• 只发布一个 auto-tune Docker 镜像，并以一个容器承载所选运行模式。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AUTO_TUNE_MODE=server：注册完整 Web UI 与统一 API，允许同一网络通过 IP/端口登录操作。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AUTO_TUNE_MODE=engine：不注册 UI 路由，不加载模板与静态资源，只保留统一 API，供公司大平台调用。</ns0:t>
      </ns0:r>
    </ns0:p>
    <ns0:p>
      <ns0:pPr>
        <ns0:spacing ns0:after="110" ns0:line="340" ns0:lineRule="auto"/>
        <ns0:widowControl/>
      </ns0:pPr>
      <ns0:r>
        <ns0:rPr/>
        <ns0:t xml:space="preserve">• 数据集分析、直接训练、HPO、LLM 调优和训练结果分析复用同一任务内核，不为 Engine 复制业务实现。</ns0:t>
      </ns0:r>
    </ns0:p>
    <ns0:p>
      <ns0:pPr>
        <ns0:spacing ns0:after="110" ns0:line="340" ns0:lineRule="auto"/>
        <ns0:widowControl/>
      </ns0:pPr>
      <ns0:r>
        <ns0:rPr/>
        <ns0:t xml:space="preserve">• 挂载 GPU 时使用 NVIDIA 运行时；未挂载 GPU 时允许 CPU 回退，不发布独立 CPU/CUDA 镜像。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数据集、模型、结果和配置通过受控目录或 NAS 挂载；容器中不得固化密钥、业务数据、权重或训练结果。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2 S4 首版明确不做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第二个 Docker 镜像或 Web/Worker 多容器拆分。</ns0:t>
      </ns0:r>
    </ns0:p>
    <ns0:p>
      <ns0:pPr>
        <ns0:spacing ns0:after="110" ns0:line="340" ns0:lineRule="auto"/>
        <ns0:widowControl/>
      </ns0:pPr>
      <ns0:r>
        <ns0:rPr/>
        <ns0:t xml:space="preserve">• Linux 原生安装包和 Python Wheel 对外交付。</ns0:t>
      </ns0:r>
    </ns0:p>
    <ns0:p>
      <ns0:pPr>
        <ns0:spacing ns0:after="110" ns0:line="340" ns0:lineRule="auto"/>
        <ns0:widowControl/>
      </ns0:pPr>
      <ns0:r>
        <ns0:rPr/>
        <ns0:t xml:space="preserve">• 将整套 Studio 安装进公司大平台；平台只通过 Engine 模式 API 集成。</ns0:t>
      </ns0:r>
    </ns0:p>
    <ns0:p>
      <ns0:pPr>
        <ns0:spacing ns0:after="110" ns0:line="340" ns0:lineRule="auto"/>
        <ns0:widowControl/>
      </ns0:pPr>
      <ns0:r>
        <ns0:rPr/>
        <ns0:t xml:space="preserve">• 多租户、集群调度、计费、高可用和复杂分布式任务编排。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6 R1 轻量 Research 暂不估时 </ns0:t>
      </ns0:r>
    </ns0:p>
    <ns0:p>
      <ns0:pPr>
        <ns0:spacing ns0:after="110" ns0:line="340" ns0:lineRule="auto"/>
        <ns0:widowControl/>
      </ns0:pPr>
      <ns0:r>
        <ns0:rPr/>
        <ns0:t xml:space="preserve">前置条件：S4 完成交付，训练、指标与产物协议稳定。范围为实验配置与环境记录、数据快照、基线对照和基础消融、顺序执行、停止/失败/恢复及对比报告。本批仍须完成测试、真实短训练和文档；暂不评估工期，也不计入工时合计。</ns0:t>
      </ns0:r>
    </ns0:p>
    <ns0:p>
      <ns0:pPr>
        <ns0:spacing ns0:after="110" ns0:line="340" ns0:lineRule="auto"/>
        <ns0:widowControl/>
      </ns0:pPr>
      <ns0:r>
        <ns0:rPr/>
        <ns0:t xml:space="preserve">验收：同一实验的输入、配置、种子、环境和实际执行可追溯；对照因素明确，失败实验不参与排名；最小真实实验组完成执行与报告，最佳配置可复用。不承诺逐位一致。暂不做结构搜索、模块替换或自动论文研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7 Cloud 分批实施与验收 初步估算 </ns0:t>
      </ns0:r>
    </ns0:p>
    <ns0:p>
      <ns0:pPr>
        <ns0:spacing ns0:after="110" ns0:line="340" ns0:lineRule="auto"/>
        <ns0:widowControl/>
      </ns0:pPr>
      <ns0:r>
        <ns0:rPr/>
        <ns0:t xml:space="preserve">前置条件：S4 已验收、R1 已完成；独立规格确认公司身份接入、可信用户范围、持久存储、GPU 环境与运维责任。学习目标是权限、并发队列、多 GPU 和多用户 LLM 服务治理。以下为路线级预算，未授权立即编码或安装依赖。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工程预算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 用户与项目权限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服务端校验数据/任务/产物权限；越权查看、停止、下载被拒绝；平台身份映射及审计可追溯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 队列与 Worker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重复提交不重复启动；持久队列、取消、心跳和恢复可测；Worker 崩溃不遗留失控训练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 多任务多 GPU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两个真实任务分配到不同 GPU；无重复占卡；等待公平；退出/重启可核对并释放资源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 多用户 LLM 治理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凭据不泄露；用户/项目配额及全局并发有效；限流退避有界；用量、上下文和证据按用户隔离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 单任务多卡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真实双 GPU 短训练；原子预留整组卡；进程失败/取消后无孤儿进程且整组资源释放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 集成与展示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完成多人并发、压力与故障演练、部署恢复和真实 GPU 验收；记录实测指标、限制与可复现演示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CL1→CL2→CL3→CL4→CL5→CL6，工程合计 </ns0:t>
      </ns0:r>
      <ns0:r>
        <ns0:rPr>
          <ns0:b/>
        </ns0:rPr>
        <ns0:t xml:space="preserve">45–75 人日</ns0:t>
      </ns0:r>
      <ns0:r>
        <ns0:rPr/>
        <ns0:t xml:space="preserve">。先单服务器整卡调度，再单任务多卡；不做多机集群、显存精细切分、强多租户隔离、商业计费或高可用。Cloud 可独立拆分 API/Worker；不要求改变已交付的 Studio 单容器模式。GPU 与 LLM 分别限流调度。</ns0:t>
      </ns0:r>
    </ns0:p>
    <ns0:p>
      <ns0:pPr>
        <ns0:spacing ns0:after="110" ns0:line="340" ns0:lineRule="auto"/>
        <ns0:widowControl/>
      </ns0:pPr>
      <ns0:r>
        <ns0:rPr/>
        <ns0:t xml:space="preserve">额外学习与原型预留 </ns0:t>
      </ns0:r>
      <ns0:r>
        <ns0:rPr>
          <ns0:b/>
        </ns0:rPr>
        <ns0:t xml:space="preserve">15–25 人日</ns0:t>
      </ns0:r>
      <ns0:r>
        <ns0:rPr/>
        <ns0:t xml:space="preserve">：权限/队列 5–8、GPU/多卡 6–10、LLM 治理 4–7。此预留不保证覆盖所有未知问题，CL1 设计与 CL3 验证后重新估算。CL3/CL5 必须具备至少两张兼容 GPU；硬件等待另计。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8 通用质量与发布门槛</ns0:t>
      </ns0:r>
    </ns0:p>
    <ns0:p>
      <ns0:pPr>
        <ns0:spacing ns0:after="110" ns0:line="340" ns0:lineRule="auto"/>
        <ns0:widowControl/>
      </ns0:pPr>
      <ns0:r>
        <ns0:rPr/>
        <ns0:t xml:space="preserve">• 每批必须通过相关单元/集成测试、完整回归和必要的最小真实训练。</ns0:t>
      </ns0:r>
    </ns0:p>
    <ns0:p>
      <ns0:pPr>
        <ns0:spacing ns0:after="110" ns0:line="340" ns0:lineRule="auto"/>
        <ns0:widowControl/>
      </ns0:pPr>
      <ns0:r>
        <ns0:rPr/>
        <ns0:t xml:space="preserve">• LLM/HPO 的输入、候选、校验、实际参数、命令、指标和终态必须可追溯。</ns0:t>
      </ns0:r>
    </ns0:p>
    <ns0:p>
      <ns0:pPr>
        <ns0:spacing ns0:after="110" ns0:line="340" ns0:lineRule="auto"/>
        <ns0:widowControl/>
      </ns0:pPr>
      <ns0:r>
        <ns0:rPr/>
        <ns0:t xml:space="preserve">• 新依赖必须单独说明用途、版本与部署影响，经艾卡确认后再引入。</ns0:t>
      </ns0:r>
    </ns0:p>
    <ns0:p>
      <ns0:pPr>
        <ns0:spacing ns0:after="110" ns0:line="340" ns0:lineRule="auto"/>
        <ns0:widowControl/>
      </ns0:pPr>
      <ns0:r>
        <ns0:rPr/>
        <ns0:t xml:space="preserve">• 每批完成后更新三份权威 Markdown 和研发执行版 DOCX；过期批次文件移动到 历史文档/，不直接删除。</ns0:t>
      </ns0:r>
    </ns0:p>
    <ns0:p>
      <ns0:pPr>
        <ns0:spacing ns0:after="110" ns0:line="340" ns0:lineRule="auto"/>
        <ns0:widowControl/>
      </ns0:pPr>
      <ns0:r>
        <ns0:rPr/>
        <ns0:t xml:space="preserve">• GitHub 提交前检查 .gitignore、文件清单、敏感信息和测试证据；只推送指定公开仓库。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9 估算口径与风险</ns0:t>
      </ns0:r>
    </ns0:p>
    <ns0:p>
      <ns0:pPr>
        <ns0:spacing ns0:after="110" ns0:line="340" ns0:lineRule="auto"/>
        <ns0:widowControl/>
      </ns0:pPr>
      <ns0:r>
        <ns0:rPr/>
        <ns0:t xml:space="preserve">Studio 剩余 H1+F1+S4 总计 </ns0:t>
      </ns0:r>
      <ns0:r>
        <ns0:rPr>
          <ns0:b/>
        </ns0:rPr>
        <ns0:t xml:space="preserve">26–44 人日</ns0:t>
      </ns0:r>
      <ns0:r>
        <ns0:rPr/>
        <ns0:t xml:space="preserve">；加 Cloud 工程为 </ns0:t>
      </ns0:r>
      <ns0:r>
        <ns0:rPr>
          <ns0:b/>
        </ns0:rPr>
        <ns0:t xml:space="preserve">71–119 人日</ns0:t>
      </ns0:r>
      <ns0:r>
        <ns0:rPr/>
        <ns0:t xml:space="preserve">；另计学习预留后为 </ns0:t>
      </ns0:r>
      <ns0:r>
        <ns0:rPr>
          <ns0:b/>
        </ns0:rPr>
        <ns0:t xml:space="preserve">86–144 人日</ns0:t>
      </ns0:r>
      <ns0:r>
        <ns0:rPr/>
        <ns0:t xml:space="preserve">。Research 暂不估时且不计入上述数字，故不提供完整项目总工期。估算基于一名熟悉现有代码的研发人员，包含设计、实现、自动测试、短训练、界面验证、Windows 与容器交付验证和文档回写；不包含 GPU/外部资源等待、采购或部署审批、重大上游依赖不兼容和新增任务类型。若公司平台接口或目标 GPU 容器环境较晚确定，应取区间上限并预留联调时间。</ns0:t>
      </ns0:r>
    </ns0:p>
    <ns0:p>
      <ns0:pPr>
        <ns0:spacing ns0:after="110" ns0:line="340" ns0:lineRule="auto"/>
        <ns0:widowControl/>
      </ns0:pPr>
      <ns0:r>
        <ns0:rPr/>
        <ns0:t xml:space="preserve">公司可用和平台对接在 S4 交付，不等待 Research/Cloud。H1/F1 设计期间先确认平台身份、数据目录、任务幂等和产物协议；S4 预算假设公司提供可用测试接口和联调人员，不包含改造公司平台主体。</ns0:t>
      </ns0:r>
    </ns0:p>
    <ns0:p>
      <ns0:pPr>
        <ns0:spacing ns0:after="110" ns0:line="340" ns0:lineRule="auto"/>
        <ns0:widowControl/>
      </ns0:pPr>
      <ns0:r>
        <ns0:rPr/>
        <ns0:t xml:space="preserve">与旧版相比，Studio 从 37–63 减至 26–44 人日，减少 11–19 人日，约 30%。Research 暂不估时；Cloud 范围重定后工程为 45–75 人日，学习另预留 15–25 人日，不直接与旧版整项目比较。Studio + Cloud 含学习为 86–144 人日，不含 Research；每周 5 个有效日约 18–29 周，每周 3 个有效日约 29–48 周，外部等待另计。详见路线图第 9 节。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8A3F0A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8A3F0A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D97706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后续研发实施计划与工期评估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