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Title"/>
        <ns0:spacing ns0:after="110" ns0:line="340" ns0:lineRule="auto"/>
        <ns0:widowControl/>
        <ns0:keepNext/>
        <ns0:pBdr>
          <ns0:bottom ns0:val="single" ns0:sz="22" ns0:space="8" ns0:color="2457A7"/>
        </ns0:pBdr>
      </ns0:pPr>
      <ns0:r>
        <ns0:t>Auto Tune 后续研发路线与实施评估 研发执行版</ns0:t>
      </ns0:r>
    </ns0:p>
    <ns0:p>
      <ns0:pPr>
        <ns0:pStyle ns0:val="Heading2"/>
      </ns0:pPr>
      <ns0:r>
        <ns0:t>2026-09-16 当前执行结论</ns0:t>
      </ns0:r>
    </ns0:p>
    <ns0:p>
      <ns0:pPr>
        <ns0:pStyle ns0:val="Normal"/>
      </ns0:pPr>
      <ns0:r>
        <ns0:t>H1.1、H1.2、H1.3 已完成实现、独立验证和人工体验确认，H1 Detect HPO 业务线验收结束。智能训练页面现已统一提供干运行预览、按原参数训练、HPO 算法调参和大模型调参；直接训练、HPO、LLM 三条真实训练路线均可完整执行。</ns0:t>
      </ns0:r>
    </ns0:p>
    <ns0:p>
      <ns0:pPr>
        <ns0:pStyle ns0:val="Normal"/>
      </ns0:pPr>
      <ns0:r>
        <ns0:t>H1.3 完整自动化基线为 2426 passed、2 warnings、0 skipped。艾卡完成真实 GPU 正式训练验证：train63 使用 device=0、epochs=25、batch=16、imgsz=640 正常完成，页面状态收敛为 completed，最终显示 mAP50=0.6454、mAP50-95=0.3275；结果目录、YOLO 静态图、最终权重和入口均正常。</ns0:t>
      </ns0:r>
    </ns0:p>
    <ns0:p>
      <ns0:pPr>
        <ns0:pStyle ns0:val="Normal"/>
      </ns0:pPr>
      <ns0:r>
        <ns0:t>不再设置 H1.4。后续顺序为：H1.3 已验收 → F1.1 产品优化与稳定版本冻结 → F1.2 Windows 与 Docker 安装适配 → R1 轻量 Research → Cloud 分批建设。</ns0:t>
      </ns0:r>
    </ns0:p>
    <ns0:p>
      <ns0:pPr>
        <ns0:pStyle ns0:val="Heading2"/>
      </ns0:pPr>
      <ns0:r>
        <ns0:t>F1.1 产品优化与稳定版本冻结</ns0:t>
      </ns0:r>
    </ns0:p>
    <ns0:p>
      <ns0:pPr>
        <ns0:pStyle ns0:val="Normal"/>
      </ns0:pPr>
      <ns0:r>
        <ns0:t>F1.1 不扩展新的主体训练能力。当前范围包括：HPO 权重上传及少量常用权重预置、主操作按钮位置调整、轻量动态进度展示；LLM 加入事实推断后准确率下降的专项复现和修复；三条真实训练路线的失败、停止、恢复、刷新和重启回归；以及对重复实现、职责混杂、超大文件和不必要依赖的证据化结构审计。</ns0:t>
      </ns0:r>
    </ns0:p>
    <ns0:p>
      <ns0:pPr>
        <ns0:pStyle ns0:val="Normal"/>
      </ns0:pPr>
      <ns0:r>
        <ns0:t>F1.1 不开发 HPO 实时 loss/mAP 曲线或 GPU、显存、温度图表，不在稳定化阶段进行大规模重写。退出时应冻结核心训练接口、运行身份、数据快照、产物和历史协议，并完成完整自动化、必要真实训练和浏览器走查。</ns0:t>
      </ns0:r>
    </ns0:p>
    <ns0:p>
      <ns0:pPr>
        <ns0:pStyle ns0:val="Heading2"/>
      </ns0:pPr>
      <ns0:r>
        <ns0:t>F1.2 Windows 与 Docker 安装适配</ns0:t>
      </ns0:r>
    </ns0:p>
    <ns0:p>
      <ns0:pPr>
        <ns0:pStyle ns0:val="Normal"/>
      </ns0:pPr>
      <ns0:r>
        <ns0:t>F1.2 只在 F1.1 冻结基线上开展 Windows 安装与单 Docker 镜像适配，包括启动、配置、升级、卸载、CPU/GPU、健康检查和持久化验证。安装包和镜像不得包含真实配置、密钥、数据集、权重、日志或训练产物。Research、Cloud 和公司平台深度接入不自动随 F1.2 启动。</ns0:t>
      </ns0:r>
    </ns0:p>
    <ns0:p>
      <ns0:pPr>
        <ns0:pStyle ns0:val="Heading2"/>
      </ns0:pPr>
      <ns0:r>
        <ns0:t>历史内容说明</ns0:t>
      </ns0:r>
    </ns0:p>
    <ns0:p>
      <ns0:pPr>
        <ns0:pStyle ns0:val="Normal"/>
      </ns0:pPr>
      <ns0:r>
        <ns0:t>下文保留既有技术边界和历史估算供追溯。凡与以上 2026-09-16 状态、阶段名称和启动顺序冲突的旧说明均不再作为当前执行依据。</ns0:t>
      </ns0:r>
    </ns0:p>
    <ns0:p>
      <ns0:pPr>
        <ns0:spacing ns0:after="110" ns0:line="340" ns0:lineRule="auto"/>
        <ns0:widowControl/>
      </ns0:pPr>
      <ns0:r>
        <ns0:rPr/>
        <ns0:t xml:space="preserve">本文只维护产品边界、阶段顺序和长期约束。具体工作量与验收门槛见 implementation_plan_20260814.md；当前完成状态与下次开发入口见 development_handoff_20260814.md。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1 路线结论</ns0:t>
      </ns0:r>
    </ns0:p>
    <ns0:p>
      <ns0:pPr>
        <ns0:spacing ns0:after="110" ns0:line="340" ns0:lineRule="auto"/>
        <ns0:widowControl/>
      </ns0:pPr>
      <ns0:r>
        <ns0:rPr/>
        <ns0:t xml:space="preserve">当前开发主线仅支持 </ns0:t>
      </ns0:r>
      <ns0:r>
        <ns0:rPr>
          <ns0:b/>
        </ns0:rPr>
        <ns0:t xml:space="preserve">YOLOv8 Detect</ns0:t>
      </ns0:r>
      <ns0:r>
        <ns0:rPr/>
        <ns0:t xml:space="preserve">。YOLOv5 Detect 不再开发。项目目标依次为：公司先能直接使用、通过统一 API 对接公司最新平台、形成可复现且有验证证据的工程项目。轻量 Research 保留，Cloud 作为多人、多 GPU、LLM 服务治理与权限并发的学习实践方向，在 Studio 交付后分批建设。</ns0:t>
      </ns0:r>
    </ns0:p>
    <ns0:p>
      <ns0:pPr>
        <ns0:spacing ns0:after="110" ns0:line="340" ns0:lineRule="auto"/>
        <ns0:widowControl/>
      </ns0:pPr>
      <ns0:r>
        <ns0:rPr/>
        <ns0:t xml:space="preserve">最终为用户提供三种彼此独立的训练策略：</ns0:t>
      </ns0:r>
    </ns0:p>
    <ns0:p>
      <ns0:pPr>
        <ns0:spacing ns0:after="110" ns0:line="340" ns0:lineRule="auto"/>
        <ns0:widowControl/>
      </ns0:pPr>
      <ns0:r>
        <ns0:rPr/>
        <ns0:t xml:space="preserve">1. </ns0:t>
      </ns0:r>
      <ns0:r>
        <ns0:rPr>
          <ns0:b/>
        </ns0:rPr>
        <ns0:t xml:space="preserve">直接训练</ns0:t>
      </ns0:r>
      <ns0:r>
        <ns0:rPr/>
        <ns0:t xml:space="preserve">：使用默认参数或用户明确填写的参数。</ns0:t>
      </ns0:r>
    </ns0:p>
    <ns0:p>
      <ns0:pPr>
        <ns0:spacing ns0:after="110" ns0:line="340" ns0:lineRule="auto"/>
        <ns0:widowControl/>
      </ns0:pPr>
      <ns0:r>
        <ns0:rPr/>
        <ns0:t xml:space="preserve">2. </ns0:t>
      </ns0:r>
      <ns0:r>
        <ns0:rPr>
          <ns0:b/>
        </ns0:rPr>
        <ns0:t xml:space="preserve">HPO 调优</ns0:t>
      </ns0:r>
      <ns0:r>
        <ns0:rPr/>
        <ns0:t xml:space="preserve">：使用确定性搜索流程产生并验证候选参数。</ns0:t>
      </ns0:r>
    </ns0:p>
    <ns0:p>
      <ns0:pPr>
        <ns0:spacing ns0:after="110" ns0:line="340" ns0:lineRule="auto"/>
        <ns0:widowControl/>
      </ns0:pPr>
      <ns0:r>
        <ns0:rPr/>
        <ns0:t xml:space="preserve">3. </ns0:t>
      </ns0:r>
      <ns0:r>
        <ns0:rPr>
          <ns0:b/>
        </ns0:rPr>
        <ns0:t xml:space="preserve">LLM 调优</ns0:t>
      </ns0:r>
      <ns0:r>
        <ns0:rPr/>
        <ns0:t xml:space="preserve">：基于代码生成的事实包提出受约束的参数建议。</ns0:t>
      </ns0:r>
    </ns0:p>
    <ns0:p>
      <ns0:pPr>
        <ns0:spacing ns0:after="110" ns0:line="340" ns0:lineRule="auto"/>
        <ns0:widowControl/>
      </ns0:pPr>
      <ns0:r>
        <ns0:rPr/>
        <ns0:t xml:space="preserve">三种策略共享数据快照、训练执行、状态、日志、历史和报告基础设施，但不串联决策。尤其不设计“HPO 结果再交给 LLM 判断”的流程；最终优胜结果按统一指标与确定性规则产生。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2 当前产品边界</ns0:t>
      </ns0:r>
    </ns0:p>
    <ns0:p>
      <ns0:pPr>
        <ns0:spacing ns0:after="110" ns0:line="340" ns0:lineRule="auto"/>
        <ns0:widowControl/>
      </ns0:pPr>
      <ns0:r>
        <ns0:rPr/>
        <ns0:t xml:space="preserve">• 单用户、单机、离线优先，FastAPI + Jinja2，本地子进程执行训练。</ns0:t>
      </ns0:r>
    </ns0:p>
    <ns0:p>
      <ns0:pPr>
        <ns0:spacing ns0:after="110" ns0:line="340" ns0:lineRule="auto"/>
        <ns0:widowControl/>
      </ns0:pPr>
      <ns0:r>
        <ns0:rPr/>
        <ns0:t xml:space="preserve">• JSON/训练产物是事实来源，SQLite 用于索引和查询，不反向改写事实。</ns0:t>
      </ns0:r>
    </ns0:p>
    <ns0:p>
      <ns0:pPr>
        <ns0:spacing ns0:after="110" ns0:line="340" ns0:lineRule="auto"/>
        <ns0:widowControl/>
      </ns0:pPr>
      <ns0:r>
        <ns0:rPr/>
        <ns0:t xml:space="preserve">• 当前已具备 YOLOv8 Detect 的直接训练、可信 LLM 调优、审计、状态恢复、历史与报告闭环；Q1 已通过 Codex 独立验收和艾卡线下体验确认，并已通过 GitHub PR #10 合并至 main。</ns0:t>
      </ns0:r>
    </ns0:p>
    <ns0:p>
      <ns0:pPr>
        <ns0:spacing ns0:after="110" ns0:line="340" ns0:lineRule="auto"/>
        <ns0:widowControl/>
      </ns0:pPr>
      <ns0:r>
        <ns0:rPr/>
        <ns0:t xml:space="preserve">• 当前稳定 Release 为 v0.2；后续开发以现有 S1、S2、P1–P5 验收基线为起点。</ns0:t>
      </ns0:r>
    </ns0:p>
    <ns0:p>
      <ns0:pPr>
        <ns0:spacing ns0:after="110" ns0:line="340" ns0:lineRule="auto"/>
        <ns0:widowControl/>
      </ns0:pPr>
      <ns0:r>
        <ns0:rPr/>
        <ns0:t xml:space="preserve">• 外部大模型服务是可选能力，不得成为直接训练或 HPO 的运行前提。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3 后续阶段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900"/>
        <ns0:gridCol ns0:w="2000"/>
        <ns0:gridCol ns0:w="5100"/>
        <ns0:gridCol ns0:w="1400"/>
      </ns0:tblGrid>
      <ns0:tr>
        <ns0:trPr>
          <ns0:cantSplit/>
          <ns0:tblHeader/>
        </ns0:trPr>
        <ns0:tc>
          <ns0:tcPr>
            <ns0:tcW ns0:w="9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阶段</ns0:t>
            </ns0:r>
          </ns0:p>
        </ns0:tc>
        <ns0:tc>
          <ns0:tcPr>
            <ns0:tcW ns0:w="20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目标</ns0:t>
            </ns0:r>
          </ns0:p>
        </ns0:tc>
        <ns0:tc>
          <ns0:tcPr>
            <ns0:tcW ns0:w="51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主要结果</ns0:t>
            </ns0:r>
          </ns0:p>
        </ns0:tc>
        <ns0:tc>
          <ns0:tcPr>
            <ns0:tcW ns0:w="14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预计工作量</ns0:t>
            </ns0:r>
          </ns0:p>
        </ns0:tc>
      </ns0:tr>
      <ns0:tr>
        <ns0:trPr>
          <ns0:cantSplit/>
        </ns0:trPr>
        <ns0:tc>
          <ns0:tcPr>
            <ns0:tcW ns0:w="9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Q1</ns0:t>
            </ns0:r>
          </ns0:p>
        </ns0:tc>
        <ns0:tc>
          <ns0:tcPr>
            <ns0:tcW ns0:w="2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LLM 可信度最小闭环</ns0:t>
            </ns0:r>
          </ns0:p>
        </ns0:tc>
        <ns0:tc>
          <ns0:tcPr>
            <ns0:tcW ns0:w="51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事实包、严格 Schema、确定性校验、一次纠错、逐次审计、拒绝即不训练</ns0:t>
            </ns0:r>
          </ns0:p>
        </ns0:tc>
        <ns0:tc>
          <ns0:tcPr>
            <ns0:tcW ns0:w="14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已完成</ns0:t>
            </ns0:r>
          </ns0:p>
        </ns0:tc>
      </ns0:tr>
      <ns0:tr>
        <ns0:trPr>
          <ns0:cantSplit/>
        </ns0:trPr>
        <ns0:tc>
          <ns0:tcPr>
            <ns0:tcW ns0:w="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H1</ns0:t>
            </ns0:r>
          </ns0:p>
        </ns0:tc>
        <ns0:tc>
          <ns0:tcPr>
            <ns0:tcW ns0:w="2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Detect HPO 最小业务线</ns0:t>
            </ns0:r>
          </ns0:p>
        </ns0:tc>
        <ns0:tc>
          <ns0:tcPr>
            <ns0:tcW ns0:w="5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Optuna TPE、随机基线、固定预算、可恢复试验、确定性排名</ns0:t>
            </ns0:r>
          </ns0:p>
        </ns0:tc>
        <ns0:tc>
          <ns0:tcPr>
            <ns0:tcW ns0:w="14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6–10 人日</ns0:t>
            </ns0:r>
          </ns0:p>
        </ns0:tc>
      </ns0:tr>
      <ns0:tr>
        <ns0:trPr>
          <ns0:cantSplit/>
        </ns0:trPr>
        <ns0:tc>
          <ns0:tcPr>
            <ns0:tcW ns0:w="9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F1</ns0:t>
            </ns0:r>
          </ns0:p>
        </ns0:tc>
        <ns0:tc>
          <ns0:tcPr>
            <ns0:tcW ns0:w="2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Detect 单任务冻结</ns0:t>
            </ns0:r>
          </ns0:p>
        </ns0:tc>
        <ns0:tc>
          <ns0:tcPr>
            <ns0:tcW ns0:w="51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Detect 三策略集成验收、兼容性与依赖事实同步</ns0:t>
            </ns0:r>
          </ns0:p>
        </ns0:tc>
        <ns0:tc>
          <ns0:tcPr>
            <ns0:tcW ns0:w="14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3–5 人日</ns0:t>
            </ns0:r>
          </ns0:p>
        </ns0:tc>
      </ns0:tr>
      <ns0:tr>
        <ns0:trPr>
          <ns0:cantSplit/>
        </ns0:trPr>
        <ns0:tc>
          <ns0:tcPr>
            <ns0:tcW ns0:w="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S4</ns0:t>
            </ns0:r>
          </ns0:p>
        </ns0:tc>
        <ns0:tc>
          <ns0:tcPr>
            <ns0:tcW ns0:w="2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Windows、单 Docker 镜像与 API 交付</ns0:t>
            </ns0:r>
          </ns0:p>
        </ns0:tc>
        <ns0:tc>
          <ns0:tcPr>
            <ns0:tcW ns0:w="5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Windows 直接安装、Server/Engine 双模式、CPU/GPU、持久化与交付验证</ns0:t>
            </ns0:r>
          </ns0:p>
        </ns0:tc>
        <ns0:tc>
          <ns0:tcPr>
            <ns0:tcW ns0:w="14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17–29 人日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>
          <ns0:b/>
        </ns0:rPr>
        <ns0:t xml:space="preserve">Studio 剩余合计：26–44 人日。</ns0:t>
      </ns0:r>
      <ns0:r>
        <ns0:rPr/>
        <ns0:t xml:space="preserve"> 该估算是单人有效研发工作量，不等同于自然日；不包含外部 GPU/资源准备等待、重大上游兼容问题和需求扩展。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4 阶段依赖与顺序</ns0:t>
      </ns0:r>
    </ns0:p>
    <ns0:p>
      <ns0:pPr>
        <ns0:spacing ns0:after="110" ns0:line="340" ns0:lineRule="auto"/>
        <ns0:widowControl/>
      </ns0:pPr>
      <ns0:r>
        <ns0:rPr/>
        <ns0:t xml:space="preserve">H1 Detect HPO → F1 Detect 单任务冻结 → S4 Windows/单 Docker 镜像/API 交付 → R1 轻量 Research → Cloud 分批建设</ns0:t>
      </ns0:r>
    </ns0:p>
    <ns0:p>
      <ns0:pPr>
        <ns0:spacing ns0:after="110" ns0:line="340" ns0:lineRule="auto"/>
        <ns0:widowControl/>
      </ns0:pPr>
      <ns0:r>
        <ns0:rPr/>
        <ns0:t xml:space="preserve">H1/F1 期间先确认公司平台的身份、任务、数据目录和产物接口约定，S4 完成联调与交付。公司可用版本不等待 Research 或 Cloud；各阶段均须独立验收。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5 关键技术决策</ns0:t>
      </ns0:r>
    </ns0:p>
    <ns0:p>
      <ns0:pPr>
        <ns0:pStyle ns0:val="Heading2"/>
        <ns0:spacing ns0:after="110" ns0:line="340" ns0:lineRule="auto"/>
        <ns0:widowControl/>
        <ns0:keepNext/>
      </ns0:pPr>
      <ns0:r>
        <ns0:rPr>
          <ns0:color ns0:val="2457A7"/>
        </ns0:rPr>
        <ns0:t xml:space="preserve">5 1 LLM 只负责受约束建议</ns0:t>
      </ns0:r>
    </ns0:p>
    <ns0:p>
      <ns0:pPr>
        <ns0:spacing ns0:after="110" ns0:line="340" ns0:lineRule="auto"/>
        <ns0:widowControl/>
      </ns0:pPr>
      <ns0:r>
        <ns0:rPr/>
        <ns0:t xml:space="preserve">• 事实由代码采集和计算，LLM 不生成事实。</ns0:t>
      </ns0:r>
    </ns0:p>
    <ns0:p>
      <ns0:pPr>
        <ns0:spacing ns0:after="110" ns0:line="340" ns0:lineRule="auto"/>
        <ns0:widowControl/>
      </ns0:pPr>
      <ns0:r>
        <ns0:rPr/>
        <ns0:t xml:space="preserve">• 输入事实带来源标识、缺失状态、数据类型和适用任务。</ns0:t>
      </ns0:r>
    </ns0:p>
    <ns0:p>
      <ns0:pPr>
        <ns0:spacing ns0:after="110" ns0:line="340" ns0:lineRule="auto"/>
        <ns0:widowControl/>
      </ns0:pPr>
      <ns0:r>
        <ns0:rPr/>
        <ns0:t xml:space="preserve">• 输出必须通过版本化 Schema；未知字段、非法类型、越界值和不适用参数直接拒绝。</ns0:t>
      </ns0:r>
    </ns0:p>
    <ns0:p>
      <ns0:pPr>
        <ns0:spacing ns0:after="110" ns0:line="340" ns0:lineRule="auto"/>
        <ns0:widowControl/>
      </ns0:pPr>
      <ns0:r>
        <ns0:rPr/>
        <ns0:t xml:space="preserve">• 业务校验器复核指标方向、参数依赖、当前值与建议值、运行状态和证据引用。</ns0:t>
      </ns0:r>
    </ns0:p>
    <ns0:p>
      <ns0:pPr>
        <ns0:spacing ns0:after="110" ns0:line="340" ns0:lineRule="auto"/>
        <ns0:widowControl/>
      </ns0:pPr>
      <ns0:r>
        <ns0:rPr/>
        <ns0:t xml:space="preserve">• 允许一次携带错误原因的纠错重试；仍失败则结束本轮，不启动训练。</ns0:t>
      </ns0:r>
    </ns0:p>
    <ns0:p>
      <ns0:pPr>
        <ns0:spacing ns0:after="110" ns0:line="340" ns0:lineRule="auto"/>
        <ns0:widowControl/>
      </ns0:pPr>
      <ns0:r>
        <ns0:rPr/>
        <ns0:t xml:space="preserve">• 最终排名、是否改善和停止条件由确定性代码计算，不由 LLM 自评。</ns0:t>
      </ns0:r>
    </ns0:p>
    <ns0:p>
      <ns0:pPr>
        <ns0:pStyle ns0:val="Heading2"/>
        <ns0:spacing ns0:after="110" ns0:line="340" ns0:lineRule="auto"/>
        <ns0:widowControl/>
        <ns0:keepNext/>
      </ns0:pPr>
      <ns0:r>
        <ns0:rPr>
          <ns0:color ns0:val="2457A7"/>
        </ns0:rPr>
        <ns0:t xml:space="preserve">5 2 HPO 采用 Optuna TPE</ns0:t>
      </ns0:r>
    </ns0:p>
    <ns0:p>
      <ns0:pPr>
        <ns0:spacing ns0:after="110" ns0:line="340" ns0:lineRule="auto"/>
        <ns0:widowControl/>
      </ns0:pPr>
      <ns0:r>
        <ns0:rPr/>
        <ns0:t xml:space="preserve">Optuna TPE 作为产品级 HPO 引擎，随机搜索作为基线；Ultralytics 内置遗传调优仅用于内部对照，不作为用户业务流程。原因是 Optuna 更适合管理 Detect 的试验、条件参数、持久化、恢复、预算和结果查询，也能继续复用现有训练执行与审计设施。</ns0:t>
      </ns0:r>
    </ns0:p>
    <ns0:p>
      <ns0:pPr>
        <ns0:spacing ns0:after="110" ns0:line="340" ns0:lineRule="auto"/>
        <ns0:widowControl/>
      </ns0:pPr>
      <ns0:r>
        <ns0:rPr/>
        <ns0:t xml:space="preserve">首版保持简单：小而明确的搜索空间、固定 trial 数、单目标指标、顺序执行；暂不引入 Ray、分布式搜索、多目标优化和激进剪枝。</ns0:t>
      </ns0:r>
    </ns0:p>
    <ns0:p>
      <ns0:pPr>
        <ns0:pStyle ns0:val="Heading2"/>
        <ns0:spacing ns0:after="110" ns0:line="340" ns0:lineRule="auto"/>
        <ns0:widowControl/>
        <ns0:keepNext/>
      </ns0:pPr>
      <ns0:r>
        <ns0:rPr>
          <ns0:color ns0:val="2457A7"/>
        </ns0:rPr>
        <ns0:t xml:space="preserve">5 3 复用训练核心与版本化协议</ns0:t>
      </ns0:r>
    </ns0:p>
    <ns0:p>
      <ns0:pPr>
        <ns0:spacing ns0:after="110" ns0:line="340" ns0:lineRule="auto"/>
        <ns0:widowControl/>
      </ns0:pPr>
      <ns0:r>
        <ns0:rPr/>
        <ns0:t xml:space="preserve">Studio、Research 与 Cloud 复用运行身份、训练执行、指标、数据快照和产物协议。研究实验与云端调度各自维护编排逻辑；不为未规划任务提前建设适配框架。Cloud 的任务权限、资源占用和队列持久化必须单独设计，不能把本地单用户状态直接当作多人服务实现。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6 Auto Tune 生态架构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1400"/>
        <ns0:gridCol ns0:w="1300"/>
        <ns0:gridCol ns0:w="3000"/>
        <ns0:gridCol ns0:w="3700"/>
      </ns0:tblGrid>
      <ns0:tr>
        <ns0:trPr>
          <ns0:cantSplit/>
          <ns0:tblHeader/>
        </ns0:trPr>
        <ns0:tc>
          <ns0:tcPr>
            <ns0:tcW ns0:w="14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产品</ns0:t>
            </ns0:r>
          </ns0:p>
        </ns0:tc>
        <ns0:tc>
          <ns0:tcPr>
            <ns0:tcW ns0:w="13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核心用户</ns0:t>
            </ns0:r>
          </ns0:p>
        </ns0:tc>
        <ns0:tc>
          <ns0:tcPr>
            <ns0:tcW ns0:w="30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核心职责</ns0:t>
            </ns0:r>
          </ns0:p>
        </ns0:tc>
        <ns0:tc>
          <ns0:tcPr>
            <ns0:tcW ns0:w="37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与其他产品的关系</ns0:t>
            </ns0:r>
          </ns0:p>
        </ns0:tc>
      </ns0:tr>
      <ns0:tr>
        <ns0:trPr>
          <ns0:cantSplit/>
        </ns0:trPr>
        <ns0:tc>
          <ns0:tcPr>
            <ns0:tcW ns0:w="14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Studio</ns0:t>
            </ns0:r>
          </ns0:p>
        </ns0:tc>
        <ns0:tc>
          <ns0:tcPr>
            <ns0:tcW ns0:w="13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操作人员、算法工程师</ns0:t>
            </ns0:r>
          </ns0:p>
        </ns0:tc>
        <ns0:tc>
          <ns0:tcPr>
            <ns0:tcW ns0:w="3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单机数据分析、直接训练、LLM/HPO 调优、历史与报告</ns0:t>
            </ns0:r>
          </ns0:p>
        </ns0:tc>
        <ns0:tc>
          <ns0:tcPr>
            <ns0:tcW ns0:w="37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当前优先交付；沉淀稳定协议与训练核心</ns0:t>
            </ns0:r>
          </ns0:p>
        </ns0:tc>
      </ns0:tr>
      <ns0:tr>
        <ns0:trPr>
          <ns0:cantSplit/>
        </ns0:trPr>
        <ns0:tc>
          <ns0:tcPr>
            <ns0:tcW ns0:w="14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Research</ns0:t>
            </ns0:r>
          </ns0:p>
        </ns0:tc>
        <ns0:tc>
          <ns0:tcPr>
            <ns0:tcW ns0:w="13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科研人员、算法研究人员</ns0:t>
            </ns0:r>
          </ns0:p>
        </ns0:tc>
        <ns0:tc>
          <ns0:tcPr>
            <ns0:tcW ns0:w="3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可复现实验、训练配置对照、基础消融与实验报告</ns0:t>
            </ns0:r>
          </ns0:p>
        </ns0:tc>
        <ns0:tc>
          <ns0:tcPr>
            <ns0:tcW ns0:w="37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复用版本化协议和适配接口，不依赖 Studio UI 运行</ns0:t>
            </ns0:r>
          </ns0:p>
        </ns0:tc>
      </ns0:tr>
      <ns0:tr>
        <ns0:trPr>
          <ns0:cantSplit/>
        </ns0:trPr>
        <ns0:tc>
          <ns0:tcPr>
            <ns0:tcW ns0:w="14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Cloud</ns0:t>
            </ns0:r>
          </ns0:p>
        </ns0:tc>
        <ns0:tc>
          <ns0:tcPr>
            <ns0:tcW ns0:w="13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团队与组织</ns0:t>
            </ns0:r>
          </ns0:p>
        </ns0:tc>
        <ns0:tc>
          <ns0:tcPr>
            <ns0:tcW ns0:w="3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多用户、任务队列、算力调度、共享存储、权限与审计</ns0:t>
            </ns0:r>
          </ns0:p>
        </ns0:tc>
        <ns0:tc>
          <ns0:tcPr>
            <ns0:tcW ns0:w="37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消费稳定协议；不要求客户端先安装 Studio 或 Research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/>
        <ns0:t xml:space="preserve">三款产品共享品牌、概念模型、任务/数据/运行/指标协议和可复用算法组件，但必须可以分别安装、运行、测试和发布。不得通过直接复制 Studio 业务层或共享可变数据库来实现“复用”。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7 Research 轻量路线 暂不估时 </ns0:t>
      </ns0:r>
    </ns0:p>
    <ns0:p>
      <ns0:pPr>
        <ns0:spacing ns0:after="110" ns0:line="340" ns0:lineRule="auto"/>
        <ns0:widowControl/>
      </ns0:pPr>
      <ns0:r>
        <ns0:rPr/>
        <ns0:t xml:space="preserve">仅实施 R1：固定数据快照、模型、配置、随机种子与环境记录；围绕基线改变指定因素，顺序执行实验，支持停止、失败记录和恢复；输出指标、耗时、配置差异与最佳配置复用报告。复现要求为输入和执行配置可追溯，不承诺 GPU 结果逐位一致。</ns0:t>
      </ns0:r>
    </ns0:p>
    <ns0:p>
      <ns0:pPr>
        <ns0:spacing ns0:after="110" ns0:line="340" ns0:lineRule="auto"/>
        <ns0:widowControl/>
      </ns0:pPr>
      <ns0:r>
        <ns0:rPr/>
        <ns0:t xml:space="preserve">R1 仍须完成自动测试、最小真实训练、报告验收和文档回写；按艾卡最新要求暂不评估工期，也不计入工时合计。暂不安排模型缩放搜索、模块替换、结构搜索、自动读论文修改代码或新的 LLM 科研流程。R1 在 S4 完成后启动；不以未来研究扩展阻塞公司交付。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8 Cloud 分批路线 工程 45 至 75 人日 学习预留 15 至 25 人日 </ns0:t>
      </ns0:r>
    </ns0:p>
    <ns0:p>
      <ns0:pPr>
        <ns0:spacing ns0:after="110" ns0:line="340" ns0:lineRule="auto"/>
        <ns0:widowControl/>
      </ns0:pPr>
      <ns0:r>
        <ns0:rPr/>
        <ns0:t xml:space="preserve">范围限定为单台 Linux GPU 服务器、公司内部可信用户、固定训练执行入口。以用户/项目权限隔离业务资源，不开放任意用户代码执行，不承诺面向不可信租户的强隔离。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1000"/>
        <ns0:gridCol ns0:w="6900"/>
        <ns0:gridCol ns0:w="1500"/>
      </ns0:tblGrid>
      <ns0:tr>
        <ns0:trPr>
          <ns0:cantSplit/>
          <ns0:tblHeader/>
        </ns0:trPr>
        <ns0:tc>
          <ns0:tcPr>
            <ns0:tcW ns0:w="10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批次</ns0:t>
            </ns0:r>
          </ns0:p>
        </ns0:tc>
        <ns0:tc>
          <ns0:tcPr>
            <ns0:tcW ns0:w="69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主要范围</ns0:t>
            </ns0:r>
          </ns0:p>
        </ns0:tc>
        <ns0:tc>
          <ns0:tcPr>
            <ns0:tcW ns0:w="15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工程工作量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CL1</ns0:t>
            </ns0:r>
          </ns0:p>
        </ns0:tc>
        <ns0:tc>
          <ns0:tcPr>
            <ns0:tcW ns0:w="69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用户/项目 RBAC、平台身份映射、数据/任务/产物访问权限和审计</ns0:t>
            </ns0:r>
          </ns0:p>
        </ns0:tc>
        <ns0:tc>
          <ns0:tcPr>
            <ns0:tcW ns0:w="15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8–13 人日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CL2</ns0:t>
            </ns0:r>
          </ns0:p>
        </ns0:tc>
        <ns0:tc>
          <ns0:tcPr>
            <ns0:tcW ns0:w="6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持久任务队列、独立 Worker、幂等、取消、心跳、失败恢复和并发上限</ns0:t>
            </ns0:r>
          </ns0:p>
        </ns0:tc>
        <ns0:tc>
          <ns0:tcPr>
            <ns0:tcW ns0:w="1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10–16 人日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CL3</ns0:t>
            </ns0:r>
          </ns0:p>
        </ns0:tc>
        <ns0:tc>
          <ns0:tcPr>
            <ns0:tcW ns0:w="69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单机多 GPU 整卡分配、多任务并行、公平排队、资源释放与重启核对</ns0:t>
            </ns0:r>
          </ns0:p>
        </ns0:tc>
        <ns0:tc>
          <ns0:tcPr>
            <ns0:tcW ns0:w="15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8–13 人日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CL4</ns0:t>
            </ns0:r>
          </ns0:p>
        </ns0:tc>
        <ns0:tc>
          <ns0:tcPr>
            <ns0:tcW ns0:w="6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LLM 凭据管理、全局/用户并发与配额、超时退避、用量与证据隔离</ns0:t>
            </ns0:r>
          </ns0:p>
        </ns0:tc>
        <ns0:tc>
          <ns0:tcPr>
            <ns0:tcW ns0:w="1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7–12 人日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CL5</ns0:t>
            </ns0:r>
          </ns0:p>
        </ns0:tc>
        <ns0:tc>
          <ns0:tcPr>
            <ns0:tcW ns0:w="69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受控单任务多卡训练、整组 GPU 预留、子进程失败与取消清理</ns0:t>
            </ns0:r>
          </ns0:p>
        </ns0:tc>
        <ns0:tc>
          <ns0:tcPr>
            <ns0:tcW ns0:w="15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6–10 人日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CL6</ns0:t>
            </ns0:r>
          </ns0:p>
        </ns0:tc>
        <ns0:tc>
          <ns0:tcPr>
            <ns0:tcW ns0:w="6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部署、监控、压力与故障演练、真实多 GPU 验证、演示与文档</ns0:t>
            </ns0:r>
          </ns0:p>
        </ns0:tc>
        <ns0:tc>
          <ns0:tcPr>
            <ns0:tcW ns0:w="1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6–11 人日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/>
        <ns0:t xml:space="preserve">GPU 训练队列与外部 LLM 请求额度分别治理；先多任务分别占卡，再单任务多卡。默认顺序 CL1→CL2→CL3→CL4→CL5→CL6。每批完成局部验收，CL6 做整体交付验证。</ns0:t>
      </ns0:r>
    </ns0:p>
    <ns0:p>
      <ns0:pPr>
        <ns0:spacing ns0:after="110" ns0:line="340" ns0:lineRule="auto"/>
        <ns0:widowControl/>
      </ns0:pPr>
      <ns0:r>
        <ns0:rPr/>
        <ns0:t xml:space="preserve">Studio S4 的单镜像单容器约束只适用于 Studio/Engine 交付。Cloud 可独立部署 API、Worker 和持久服务；具体技术选型、新依赖和部署规格在立项时确认，复用版本化接口，保留原单机交付方式。</ns0:t>
      </ns0:r>
    </ns0:p>
    <ns0:p>
      <ns0:pPr>
        <ns0:spacing ns0:after="110" ns0:line="340" ns0:lineRule="auto"/>
        <ns0:widowControl/>
      </ns0:pPr>
      <ns0:r>
        <ns0:rPr/>
        <ns0:t xml:space="preserve">暂不做跨机器训练、集群编排、显存细粒度切分、商业计费、跨云容灾或高可用。须在 CL3/CL5 前取得至少两张兼容 GPU 的验证环境；模拟测试不能替代真实多 GPU 验收。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9 总体工作量与估算依据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4200"/>
        <ns0:gridCol ns0:w="5200"/>
      </ns0:tblGrid>
      <ns0:tr>
        <ns0:trPr>
          <ns0:cantSplit/>
          <ns0:tblHeader/>
        </ns0:trPr>
        <ns0:tc>
          <ns0:tcPr>
            <ns0:tcW ns0:w="42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范围</ns0:t>
            </ns0:r>
          </ns0:p>
        </ns0:tc>
        <ns0:tc>
          <ns0:tcPr>
            <ns0:tcW ns0:w="52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有效工作量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Studio 剩余 H1+F1+S4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26–44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R1 轻量 Research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暂不估时，不计入合计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Cloud 工程 CL1–CL6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45–75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Studio + Cloud 工程（不含 Research）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71–119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Cloud 学习与技术验证额外预留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15–25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Studio + Cloud 含学习预留（不含 Research）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86–144 人日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/>
        <ns0:t xml:space="preserve">这是 2026-09-07 基于范围拆分的初步工程判断，并非代码级估工或交付承诺。Studio 保留原 F1/S4 预算，未额外扣减验收节省；Research 仅保留 R1。Cloud 复用 S4 API/部署与训练内核，减少原路线的多租户、集群方向，同时明确加入 LLM 治理和单任务多卡验证，故与旧版不属于相同范围。</ns0:t>
      </ns0:r>
    </ns0:p>
    <ns0:p>
      <ns0:pPr>
        <ns0:spacing ns0:after="110" ns0:line="340" ns0:lineRule="auto"/>
        <ns0:widowControl/>
      </ns0:pPr>
      <ns0:r>
        <ns0:rPr/>
        <ns0:t xml:space="preserve">旧版 Studio 为 37–63 人日，新版为 26–44 人日，减少 11–19 人日（对应区间端点约 30%）。Studio 保留原冻结和封装预算，未重复扣减验收成本。Research 暂不估时，Cloud 范围也已重定，因此不再比较整项目节省比例。</ns0:t>
      </ns0:r>
    </ns0:p>
    <ns0:p>
      <ns0:pPr>
        <ns0:spacing ns0:after="110" ns0:line="340" ns0:lineRule="auto"/>
        <ns0:widowControl/>
      </ns0:pPr>
      <ns0:r>
        <ns0:rPr/>
        <ns0:t xml:space="preserve">仅对已估算的 Studio + Cloud：按每周 5 个有效研发日，含学习预留约 18–29 周；每周 3 个有效日约 29–48 周。这不含 Research、资源采购申请、平台联调等待、日常业务打断和重大兼容问题，不代表完整项目交付周期。</ns0:t>
      </ns0:r>
    </ns0:p>
    <ns0:p>
      <ns0:pPr>
        <ns0:spacing ns0:after="110" ns0:line="340" ns0:lineRule="auto"/>
        <ns0:widowControl/>
      </ns0:pPr>
      <ns0:r>
        <ns0:rPr/>
        <ns0:t xml:space="preserve">学习预留用于队列/权限、GPU 调度与多卡、LLM 治理的原型、阅读和返工，不替代各批次工程验收。Cloud 可信度低于 Studio，需在 CL1 规格确认及 CL3 技术验证后重新估算。简历和演示只使用实际实现及测量结果，不预写并发规模、吞吐量或可靠性成果。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10 当前不做</ns0:t>
      </ns0:r>
    </ns0:p>
    <ns0:p>
      <ns0:pPr>
        <ns0:spacing ns0:after="110" ns0:line="340" ns0:lineRule="auto"/>
        <ns0:widowControl/>
      </ns0:pPr>
      <ns0:r>
        <ns0:rPr/>
        <ns0:t xml:space="preserve">• YOLOv5 Detect 兼容与调优。</ns0:t>
      </ns0:r>
    </ns0:p>
    <ns0:p>
      <ns0:pPr>
        <ns0:spacing ns0:after="110" ns0:line="340" ns0:lineRule="auto"/>
        <ns0:widowControl/>
      </ns0:pPr>
      <ns0:r>
        <ns0:rPr/>
        <ns0:t xml:space="preserve">• HPO 与 LLM 串联裁决、多个 LLM 互审或复杂 Agent 图。</ns0:t>
      </ns0:r>
    </ns0:p>
    <ns0:p>
      <ns0:pPr>
        <ns0:spacing ns0:after="110" ns0:line="340" ns0:lineRule="auto"/>
        <ns0:widowControl/>
      </ns0:pPr>
      <ns0:r>
        <ns0:rPr/>
        <ns0:t xml:space="preserve">• 在 Studio 当前批次中建设 Ray Tune、分布式/多 GPU 调度或多租户平台。</ns0:t>
      </ns0:r>
    </ns0:p>
    <ns0:p>
      <ns0:pPr>
        <ns0:spacing ns0:after="110" ns0:line="340" ns0:lineRule="auto"/>
        <ns0:widowControl/>
      </ns0:pPr>
      <ns0:r>
        <ns0:rPr/>
        <ns0:t xml:space="preserve">• Segment、OBB、Pose 或其他新模型家族。</ns0:t>
      </ns0:r>
    </ns0:p>
    <ns0:p>
      <ns0:pPr>
        <ns0:spacing ns0:after="110" ns0:line="340" ns0:lineRule="auto"/>
        <ns0:widowControl/>
      </ns0:pPr>
      <ns0:r>
        <ns0:rPr/>
        <ns0:t xml:space="preserve">• 在Detect 单任务冻结前进行大规模架构重写。</ns0:t>
      </ns0:r>
    </ns0:p>
    <ns0:p>
      <ns0:pPr>
        <ns0:pStyle ns0:val="Heading1"/>
        <ns0:spacing ns0:after="60" ns0:line="26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11 文档职责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65" ns0:type="dxa"/>
          <ns0:bottom ns0:w="65" ns0:type="dxa"/>
          <ns0:left ns0:w="120" ns0:type="dxa"/>
          <ns0:right ns0:w="120" ns0:type="dxa"/>
        </ns0:tblCellMar>
      </ns0:tblPr>
      <ns0:tblGrid>
        <ns0:gridCol ns0:w="4200"/>
        <ns0:gridCol ns0:w="5200"/>
      </ns0:tblGrid>
      <ns0:tr>
        <ns0:trPr>
          <ns0:cantSplit/>
          <ns0:tblHeader/>
        </ns0:trPr>
        <ns0:tc>
          <ns0:tcPr>
            <ns0:tcW ns0:w="4200" ns0:type="dxa"/>
            <ns0:vAlign ns0:val="center"/>
            <ns0:shd ns0:fill="17365D"/>
          </ns0:tcPr>
          <ns0:p>
            <ns0:pPr>
              <ns0:spacing ns0:after="60" ns0:line="26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文件</ns0:t>
            </ns0:r>
          </ns0:p>
        </ns0:tc>
        <ns0:tc>
          <ns0:tcPr>
            <ns0:tcW ns0:w="5200" ns0:type="dxa"/>
            <ns0:vAlign ns0:val="center"/>
            <ns0:shd ns0:fill="17365D"/>
          </ns0:tcPr>
          <ns0:p>
            <ns0:pPr>
              <ns0:spacing ns0:after="60" ns0:line="26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唯一职责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roadmap_20260814.md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产品范围、阶段大纲、依赖与长期技术边界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implementation_plan_20260814.md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未完成批次、顺序、工作量、交付物与验收门槛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development_handoff_20260814.md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当前完成状态、测试基线、版本状态与下次启动入口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llm_tuning_semantic_rules.md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Q1.2 运行时语义规则、错误码、审计时序与维护边界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Auto-Tune后续研发路线与实施评估_研发执行版.docx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人工评审版，与对应 Markdown 同步维护范围和排期</ns0:t>
            </ns0:r>
          </ns0:p>
        </ns0:tc>
      </ns0:tr>
    </ns0:tbl>
    <ns0:p>
      <ns0:pPr>
        <ns0:spacing ns0:after="60" ns0:line="260" ns0:lineRule="auto"/>
        <ns0:widowControl/>
      </ns0:pPr>
    </ns0:p>
    <ns0:p>
      <ns0:pPr>
        <ns0:spacing ns0:after="60" ns0:line="260" ns0:lineRule="auto"/>
        <ns0:widowControl/>
      </ns0:pPr>
      <ns0:r>
        <ns0:rPr/>
        <ns0:t xml:space="preserve">每个批次开始前另建当批规格和实施计划；批次完成并回写上述权威文件后，按归档规则移动旧批次文档。</ns0:t>
      </ns0:r>
    </ns0:p>
    <ns0:p>
      <ns0:pPr>
        <ns0:pStyle ns0:val="Heading1"/>
        <ns0:spacing ns0:after="60" ns0:line="26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文档对应关系</ns0:t>
      </ns0:r>
    </ns0:p>
    <ns0:p>
      <ns0:pPr>
        <ns0:spacing ns0:after="60" ns0:line="260" ns0:lineRule="auto"/>
        <ns0:widowControl/>
      </ns0:pPr>
      <ns0:r>
        <ns0:rPr/>
        <ns0:t xml:space="preserve">本文与对应 Markdown 同步维护。2026-09-08 H1.1 返修验收通过：全量 1672 passed、2 条既有警告。原 H1 6–10 人日及合计工期包含已完成 H1.1，剩余工作尚未重新估算；详见当前交接与验收记录。</ns0:t>
      </ns0:r>
    </ns0:p>
    <ns0:sectPr>
      <ns0:pgSz ns0:w="11906" ns0:h="16838"/>
      <ns0:pgMar ns0:top="1134" ns0:bottom="1134" ns0:left="1253" ns0:right="1253" ns0:header="500" ns0:footer="500" ns0:gutter="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ftr>
</file>

<file path=word/header1.xml><?xml version="1.0" encoding="utf-8"?>
<w:hd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asciiTheme="majorHAnsi" ns0:eastAsiaTheme="majorEastAsia" ns0:hAnsiTheme="majorHAnsi" ns0:cstheme="majorBidi" ns0:ascii="Microsoft YaHei" ns0:hAnsi="Microsoft YaHei" ns0:eastAsia="Microsoft YaHei"/>
      <ns0:b ns0:val="0"/>
      <ns0:i/>
      <ns0:iCs/>
      <ns0:color ns0:val="666666"/>
      <ns0:spacing ns0:val="15"/>
      <ns0:sz ns0:val="22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paragraph" ns0:styleId="Normal">
    <ns0:name ns0:val="Normal"/>
    <ns0:pPr/>
    <ns0:rPr>
      <ns0:rFonts ns0:ascii="Calibri" ns0:hAnsi="Calibri" ns0:eastAsia="Microsoft YaHei"/>
      <ns0:sz ns0:val="22"/>
      <ns0:color ns0:val="000000"/>
    </ns0:rPr>
  </ns0:style>
  <ns0:style ns0:type="paragraph" ns0:styleId="Title">
    <ns0:name ns0:val="Title"/>
    <ns0:basedOn ns0:val="Normal"/>
    <ns0:pPr>
      <ns0:keepNext/>
      <ns0:spacing ns0:before="220" ns0:after="130"/>
    </ns0:pPr>
    <ns0:rPr>
      <ns0:rFonts ns0:ascii="Calibri" ns0:hAnsi="Calibri" ns0:eastAsia="Microsoft YaHei"/>
      <ns0:sz ns0:val="36"/>
      <ns0:color ns0:val="17365D"/>
      <ns0:b/>
    </ns0:rPr>
  </ns0:style>
  <ns0:style ns0:type="paragraph" ns0:styleId="Heading1">
    <ns0:name ns0:val="heading 1"/>
    <ns0:basedOn ns0:val="Normal"/>
    <ns0:pPr>
      <ns0:keepNext/>
      <ns0:spacing ns0:before="220" ns0:after="130"/>
      <ns0:outlineLvl ns0:val="0"/>
    </ns0:pPr>
    <ns0:rPr>
      <ns0:rFonts ns0:ascii="Calibri" ns0:hAnsi="Calibri" ns0:eastAsia="Microsoft YaHei"/>
      <ns0:sz ns0:val="28"/>
      <ns0:color ns0:val="17365D"/>
      <ns0:b/>
    </ns0:rPr>
  </ns0:style>
  <ns0:style ns0:type="paragraph" ns0:styleId="Heading2">
    <ns0:name ns0:val="heading 2"/>
    <ns0:basedOn ns0:val="Normal"/>
    <ns0:pPr>
      <ns0:keepNext/>
      <ns0:spacing ns0:before="220" ns0:after="130"/>
      <ns0:outlineLvl ns0:val="1"/>
    </ns0:pPr>
    <ns0:rPr>
      <ns0:rFonts ns0:ascii="Calibri" ns0:hAnsi="Calibri" ns0:eastAsia="Microsoft YaHei"/>
      <ns0:sz ns0:val="24"/>
      <ns0:color ns0:val="2457A7"/>
      <ns0:b/>
    </ns0:rPr>
  </ns0:style>
</ns0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 Tune 后续研发路线与实施评估 研发执行版</dc:title>
  <dc:subject>H1.3 验收完成及 F1.1 F1.2 后续入口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