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jc w:val="left"/>
      </w:pPr>
      <w:r>
        <w:rPr>
          <w:b/>
          <w:color w:val="2457A7"/>
          <w:sz w:val="18"/>
        </w:rPr>
        <w:t>STRATEGY / 路线与架构</w:t>
      </w:r>
    </w:p>
    <w:p>
      <w:pPr>
        <w:pStyle w:val="Title"/>
        <w:spacing w:after="80"/>
        <w:pBdr>
          <w:bottom w:val="single" w:sz="22" w:space="8" w:color="2457A7"/>
        </w:pBdr>
      </w:pPr>
      <w:r>
        <w:t>Auto-Tune 后续研发路线与架构决策</w:t>
      </w:r>
    </w:p>
    <w:p>
      <w:pPr>
        <w:pStyle w:val="Subtitle"/>
        <w:spacing w:after="240"/>
      </w:pPr>
      <w:r>
        <w:rPr>
          <w:color w:val="2457A7"/>
        </w:rPr>
        <w:t>原《Auto-Tune 后续研发路线与实施评估（研发执行版）》精简重组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00"/>
            <w:shd w:fill="DCE8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17365D"/>
              </w:rPr>
              <w:t>版本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r>
              <w:t>2026-09-02</w:t>
            </w:r>
          </w:p>
        </w:tc>
      </w:tr>
      <w:tr>
        <w:tc>
          <w:tcPr>
            <w:tcW w:type="dxa" w:w="1500"/>
            <w:shd w:fill="DCE8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17365D"/>
              </w:rPr>
              <w:t>适用基线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Auto-Tune Studio v0.2；Q1.1/Q1.2 已验收，等待线下体验确认</w:t>
            </w:r>
          </w:p>
        </w:tc>
      </w:tr>
    </w:tbl>
    <w:p>
      <w:pPr>
        <w:shd w:fill="DCE8F7"/>
        <w:spacing w:before="100" w:after="100"/>
      </w:pPr>
      <w:r>
        <w:rPr>
          <w:color w:val="17365D"/>
          <w:b/>
        </w:rPr>
        <w:t>  方向决策  </w:t>
      </w:r>
    </w:p>
    <w:p/>
    <w:p>
      <w:pPr>
        <w:pStyle w:val="Heading1"/>
        <w:pBdr>
          <w:bottom w:val="single" w:sz="7" w:space="3" w:color="2457A7"/>
        </w:pBdr>
      </w:pPr>
      <w:r>
        <w:t>1. 执行结论</w:t>
      </w:r>
    </w:p>
    <w:p>
      <w:r>
        <w:t>当前开发主线先收敛 Auto-Tune Studio，只完成 YOLOv8 Detect 与 YOLOv8 Classify。YOLOv5 Detect 不再开发。Auto-Tune Research 与 Auto-Tune Cloud 保留为后续独立产品线，但不插入本轮 Studio 交付顺序。</w:t>
      </w:r>
    </w:p>
    <w:p>
      <w:r>
        <w:t>面向用户保留三种独立训练策略：直接训练、HPO、LLM。三者共享训练基础设施，但不串联裁决；尤其不把 HPO 结果再交给 LLM 判断。</w:t>
      </w:r>
    </w:p>
    <w:p>
      <w:pPr>
        <w:pStyle w:val="Heading1"/>
        <w:pBdr>
          <w:bottom w:val="single" w:sz="7" w:space="3" w:color="2457A7"/>
        </w:pBdr>
      </w:pPr>
      <w:r>
        <w:t>2. 当前基线</w:t>
      </w:r>
    </w:p>
    <w:p>
      <w:pPr>
        <w:pStyle w:val="ListBullet"/>
      </w:pPr>
      <w:r>
        <w:t>当前稳定 Release 为 v0.2；S1、S2、P1–P5 已形成稳定基线，Q1.1/Q1.2 已完成 Codex 联合验收但尚未提交。</w:t>
      </w:r>
    </w:p>
    <w:p>
      <w:pPr>
        <w:pStyle w:val="ListBullet"/>
      </w:pPr>
      <w:r>
        <w:t>Q1.1/Q1.2 已完成联合验收；等待艾卡线下体验确认后统一提交，随后进入 H1 Detect HPO。</w:t>
      </w:r>
    </w:p>
    <w:p>
      <w:pPr>
        <w:pStyle w:val="ListBullet"/>
      </w:pPr>
      <w:r>
        <w:t>产品保持单用户、单机、离线优先；外部大模型服务不得成为直接训练或 HPO 的前提。</w:t>
      </w:r>
    </w:p>
    <w:p>
      <w:pPr>
        <w:pStyle w:val="ListBullet"/>
      </w:pPr>
      <w:r>
        <w:t>JSON 与训练产物是事实来源，SQLite 负责索引和查询。</w:t>
      </w:r>
    </w:p>
    <w:p>
      <w:pPr>
        <w:pStyle w:val="Heading1"/>
        <w:pBdr>
          <w:bottom w:val="single" w:sz="7" w:space="3" w:color="2457A7"/>
        </w:pBdr>
      </w:pPr>
      <w:r>
        <w:t>3. 目标产品形态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0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训练策略</w:t>
            </w:r>
          </w:p>
        </w:tc>
        <w:tc>
          <w:tcPr>
            <w:tcW w:type="dxa" w:w="3400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职责</w:t>
            </w:r>
          </w:p>
        </w:tc>
        <w:tc>
          <w:tcPr>
            <w:tcW w:type="dxa" w:w="4260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可信边界</w:t>
            </w:r>
          </w:p>
        </w:tc>
      </w:tr>
      <w:tr>
        <w:tc>
          <w:tcPr>
            <w:tcW w:type="dxa" w:w="1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直接训练</w:t>
            </w:r>
          </w:p>
        </w:tc>
        <w:tc>
          <w:tcPr>
            <w:tcW w:type="dxa" w:w="34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使用默认或用户指定参数</w:t>
            </w:r>
          </w:p>
        </w:tc>
        <w:tc>
          <w:tcPr>
            <w:tcW w:type="dxa" w:w="4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参数预检后直接执行</w:t>
            </w:r>
          </w:p>
        </w:tc>
      </w:tr>
      <w:tr>
        <w:tc>
          <w:tcPr>
            <w:tcW w:type="dxa" w:w="1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r>
              <w:t>HPO</w:t>
            </w:r>
          </w:p>
        </w:tc>
        <w:tc>
          <w:tcPr>
            <w:tcW w:type="dxa" w:w="34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r>
              <w:t>按固定预算搜索候选参数</w:t>
            </w:r>
          </w:p>
        </w:tc>
        <w:tc>
          <w:tcPr>
            <w:tcW w:type="dxa" w:w="4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r>
              <w:t>代码确定性排名，不依赖 LLM</w:t>
            </w:r>
          </w:p>
        </w:tc>
      </w:tr>
      <w:tr>
        <w:tc>
          <w:tcPr>
            <w:tcW w:type="dxa" w:w="1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LLM</w:t>
            </w:r>
          </w:p>
        </w:tc>
        <w:tc>
          <w:tcPr>
            <w:tcW w:type="dxa" w:w="34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基于事实包提出受约束建议</w:t>
            </w:r>
          </w:p>
        </w:tc>
        <w:tc>
          <w:tcPr>
            <w:tcW w:type="dxa" w:w="4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Schema 与业务校验通过后才允许训练</w:t>
            </w:r>
          </w:p>
        </w:tc>
      </w:tr>
    </w:tbl>
    <w:p/>
    <w:p>
      <w:pPr>
        <w:pStyle w:val="Heading1"/>
        <w:pBdr>
          <w:bottom w:val="single" w:sz="7" w:space="3" w:color="2457A7"/>
        </w:pBdr>
      </w:pPr>
      <w:r>
        <w:t>4. LLM 可信度路线</w:t>
      </w:r>
    </w:p>
    <w:p>
      <w:pPr>
        <w:pStyle w:val="ListBullet"/>
      </w:pPr>
      <w:r>
        <w:t>Q1.1 已完成：代码生成并冻结事实包，绑定参考运行和来源；LLM 修改必须引用真实 fact_id 并回传当前 fact_package_id。</w:t>
      </w:r>
    </w:p>
    <w:p>
      <w:pPr>
        <w:pStyle w:val="ListBullet"/>
      </w:pPr>
      <w:r>
        <w:t>Q1.1/Q1.2 已建立严格 TuningDecision Schema、证据存在性与语义校验、一次纠错、逐次审计和失败禁止训练，并完成 Detect 短训练、审计与 Studio 页面验收。</w:t>
      </w:r>
    </w:p>
    <w:p>
      <w:pPr>
        <w:pStyle w:val="ListBullet"/>
      </w:pPr>
      <w:r>
        <w:t>Q1.2 已完成：使用固定语义规则表验证“事实—参数—方向—幅度”，规则同时驱动提示词和确定性校验器。</w:t>
      </w:r>
    </w:p>
    <w:p>
      <w:pPr>
        <w:pStyle w:val="ListBullet"/>
      </w:pPr>
      <w:r>
        <w:t>语义不通时只允许一次同事实包受控纠错；每次响应先写审计，写盘失败或再次校验失败均在命令构造与训练启动前停止。</w:t>
      </w:r>
    </w:p>
    <w:p>
      <w:pPr>
        <w:pStyle w:val="ListBullet"/>
      </w:pPr>
      <w:r>
        <w:t>首版只覆盖高置信度 Detect 规则，不使用第二模型、知识图谱、多 Agent、自动删参或 HPO—LLM 串联裁决。</w:t>
      </w:r>
    </w:p>
    <w:p>
      <w:r>
        <w:t>Q1.2 已形成独立中文规则说明文件；证据存在和规则命中只提高可验证性，不等同于证明 LLM 推理绝对正确。</w:t>
      </w:r>
    </w:p>
    <w:p>
      <w:pPr>
        <w:pStyle w:val="Heading1"/>
        <w:pBdr>
          <w:bottom w:val="single" w:sz="7" w:space="3" w:color="2457A7"/>
        </w:pBdr>
      </w:pPr>
      <w:r>
        <w:t>5. HPO 技术决策</w:t>
      </w:r>
    </w:p>
    <w:p>
      <w:r>
        <w:t>产品级 HPO 采用 Optuna TPE，随机搜索作为基线；Ultralytics 内置遗传调优仅用于内部对照。Optuna 更适合统一管理 Detect/Classify 的条件参数、试验持久化、恢复、预算和结果查询。</w:t>
      </w:r>
    </w:p>
    <w:p>
      <w:r>
        <w:t>首版采用小搜索空间、固定 trial 数、单目标和顺序执行；暂不引入 Ray、并行/分布式搜索、多目标优化和激进剪枝。</w:t>
      </w:r>
    </w:p>
    <w:p>
      <w:pPr>
        <w:pStyle w:val="Heading1"/>
        <w:pBdr>
          <w:bottom w:val="single" w:sz="7" w:space="3" w:color="2457A7"/>
        </w:pBdr>
      </w:pPr>
      <w:r>
        <w:t>6. 复用边界</w:t>
      </w:r>
    </w:p>
    <w:p>
      <w:r>
        <w:t>Detect 与 Classify 复用运行身份、子进程执行、状态机、日志、快照、历史、报告和 HPO 编排接口；各自维护数据规则、指标解析、事实画像、参数白名单、搜索空间和验收基线。</w:t>
      </w:r>
    </w:p>
    <w:p>
      <w:pPr>
        <w:pStyle w:val="Heading1"/>
        <w:pBdr>
          <w:bottom w:val="single" w:sz="7" w:space="3" w:color="2457A7"/>
        </w:pBdr>
      </w:pPr>
      <w:r>
        <w:t>7. 本轮 Studio 不实施</w:t>
      </w:r>
    </w:p>
    <w:p>
      <w:pPr>
        <w:pStyle w:val="ListBullet"/>
      </w:pPr>
      <w:r>
        <w:t>YOLOv5 Detect。</w:t>
      </w:r>
    </w:p>
    <w:p>
      <w:pPr>
        <w:pStyle w:val="ListBullet"/>
      </w:pPr>
      <w:r>
        <w:t>Segment、OBB、Pose 与其他模型家族。</w:t>
      </w:r>
    </w:p>
    <w:p>
      <w:pPr>
        <w:pStyle w:val="ListBullet"/>
      </w:pPr>
      <w:r>
        <w:t>Research 与 Cloud 不插入本轮 Studio 批次，后续按独立产品线立项；本轮不做多租户、Ray 与分布式/多 GPU 调度。</w:t>
      </w:r>
    </w:p>
    <w:p>
      <w:pPr>
        <w:pStyle w:val="ListBullet"/>
      </w:pPr>
      <w:r>
        <w:t>双任务冻结前的大规模架构重写。</w:t>
      </w:r>
    </w:p>
    <w:p>
      <w:pPr>
        <w:pStyle w:val="Heading1"/>
        <w:pBdr>
          <w:bottom w:val="single" w:sz="7" w:space="3" w:color="2457A7"/>
        </w:pBdr>
      </w:pPr>
      <w:r>
        <w:t>8. 文档体系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3100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文档</w:t>
            </w:r>
          </w:p>
        </w:tc>
        <w:tc>
          <w:tcPr>
            <w:tcW w:type="dxa" w:w="6260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7"/>
              </w:rPr>
              <w:t>路线与架构决策（本文）</w:t>
            </w:r>
          </w:p>
        </w:tc>
        <w:tc>
          <w:tcPr>
            <w:tcW w:type="dxa" w:w="6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7"/>
              </w:rPr>
              <w:t>范围、顺序、技术边界和明确不做项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pPr>
              <w:spacing w:after="20" w:line="240" w:lineRule="auto"/>
            </w:pPr>
            <w:r>
              <w:rPr>
                <w:sz w:val="17"/>
              </w:rPr>
              <w:t>实施计划与工期评估</w:t>
            </w:r>
          </w:p>
        </w:tc>
        <w:tc>
          <w:tcPr>
            <w:tcW w:type="dxa" w:w="6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pPr>
              <w:spacing w:after="20" w:line="240" w:lineRule="auto"/>
            </w:pPr>
            <w:r>
              <w:rPr>
                <w:sz w:val="17"/>
              </w:rPr>
              <w:t>未完成批次、工期、交付物和验收门槛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7"/>
              </w:rPr>
              <w:t>当前研发进度与开发交接</w:t>
            </w:r>
          </w:p>
        </w:tc>
        <w:tc>
          <w:tcPr>
            <w:tcW w:type="dxa" w:w="6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7"/>
              </w:rPr>
              <w:t>已完成基线、测试证据和下次启动入口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pPr>
              <w:spacing w:after="20" w:line="240" w:lineRule="auto"/>
            </w:pPr>
            <w:r>
              <w:rPr>
                <w:sz w:val="17"/>
              </w:rPr>
              <w:t>Markdown 配套文件</w:t>
            </w:r>
          </w:p>
        </w:tc>
        <w:tc>
          <w:tcPr>
            <w:tcW w:type="dxa" w:w="62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3F7FC"/>
          </w:tcPr>
          <w:p>
            <w:pPr>
              <w:spacing w:after="20" w:line="240" w:lineRule="auto"/>
            </w:pPr>
            <w:r>
              <w:rPr>
                <w:sz w:val="17"/>
              </w:rPr>
              <w:t>供 Claude Code/Codex 定位与执行，不作为人工评审主文档</w:t>
            </w:r>
          </w:p>
        </w:tc>
      </w:tr>
    </w:tbl>
    <w:p/>
    <w:p>
      <w:pPr>
        <w:pStyle w:val="Heading1"/>
        <w:pBdr>
          <w:bottom w:val="single" w:sz="7" w:space="3" w:color="2457A7"/>
        </w:pBdr>
      </w:pPr>
      <w:r>
        <w:t>9. 后续阶段与工期</w:t>
      </w:r>
    </w:p>
    <w:p>
      <w:r>
        <w:t>后续执行顺序：H1 → C1 → C2 → F1 → S4。先完成 Detect HPO，再接入 Classify，最后冻结双任务并进入统一 Training Engine、Windows 安装与单 Docker 镜像交付。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目标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工作量</w:t>
            </w:r>
          </w:p>
        </w:tc>
      </w:tr>
      <w:tr>
        <w:tc>
          <w:tcPr>
            <w:tcW w:type="dxa" w:w="3289"/>
          </w:tcPr>
          <w:p>
            <w:r>
              <w:t>Q1.2（已完成）</w:t>
            </w:r>
          </w:p>
        </w:tc>
        <w:tc>
          <w:tcPr>
            <w:tcW w:type="dxa" w:w="3289"/>
          </w:tcPr>
          <w:p>
            <w:r>
              <w:t>LLM 语义校验</w:t>
            </w:r>
          </w:p>
        </w:tc>
        <w:tc>
          <w:tcPr>
            <w:tcW w:type="dxa" w:w="3289"/>
          </w:tcPr>
          <w:p>
            <w:r>
              <w:t>已完成</w:t>
            </w:r>
          </w:p>
        </w:tc>
      </w:tr>
      <w:tr>
        <w:tc>
          <w:tcPr>
            <w:tcW w:type="dxa" w:w="3289"/>
            <w:shd w:fill="F3F7FC"/>
          </w:tcPr>
          <w:p>
            <w:r>
              <w:t>H1</w:t>
            </w:r>
          </w:p>
        </w:tc>
        <w:tc>
          <w:tcPr>
            <w:tcW w:type="dxa" w:w="3289"/>
            <w:shd w:fill="F3F7FC"/>
          </w:tcPr>
          <w:p>
            <w:r>
              <w:t>Detect HPO MVP</w:t>
            </w:r>
          </w:p>
        </w:tc>
        <w:tc>
          <w:tcPr>
            <w:tcW w:type="dxa" w:w="3289"/>
            <w:shd w:fill="F3F7FC"/>
          </w:tcPr>
          <w:p>
            <w:r>
              <w:t>6–10 人日</w:t>
            </w:r>
          </w:p>
        </w:tc>
      </w:tr>
      <w:tr>
        <w:tc>
          <w:tcPr>
            <w:tcW w:type="dxa" w:w="3289"/>
          </w:tcPr>
          <w:p>
            <w:r>
              <w:t>C1</w:t>
            </w:r>
          </w:p>
        </w:tc>
        <w:tc>
          <w:tcPr>
            <w:tcW w:type="dxa" w:w="3289"/>
          </w:tcPr>
          <w:p>
            <w:r>
              <w:t>Classify 直接训练</w:t>
            </w:r>
          </w:p>
        </w:tc>
        <w:tc>
          <w:tcPr>
            <w:tcW w:type="dxa" w:w="3289"/>
          </w:tcPr>
          <w:p>
            <w:r>
              <w:t>7–12 人日</w:t>
            </w:r>
          </w:p>
        </w:tc>
      </w:tr>
      <w:tr>
        <w:tc>
          <w:tcPr>
            <w:tcW w:type="dxa" w:w="3289"/>
            <w:shd w:fill="F3F7FC"/>
          </w:tcPr>
          <w:p>
            <w:r>
              <w:t>C2</w:t>
            </w:r>
          </w:p>
        </w:tc>
        <w:tc>
          <w:tcPr>
            <w:tcW w:type="dxa" w:w="3289"/>
            <w:shd w:fill="F3F7FC"/>
          </w:tcPr>
          <w:p>
            <w:r>
              <w:t>Classify LLM/HPO</w:t>
            </w:r>
          </w:p>
        </w:tc>
        <w:tc>
          <w:tcPr>
            <w:tcW w:type="dxa" w:w="3289"/>
            <w:shd w:fill="F3F7FC"/>
          </w:tcPr>
          <w:p>
            <w:r>
              <w:t>4–7 人日</w:t>
            </w:r>
          </w:p>
        </w:tc>
      </w:tr>
      <w:tr>
        <w:tc>
          <w:tcPr>
            <w:tcW w:type="dxa" w:w="3289"/>
          </w:tcPr>
          <w:p>
            <w:r>
              <w:t>F1</w:t>
            </w:r>
          </w:p>
        </w:tc>
        <w:tc>
          <w:tcPr>
            <w:tcW w:type="dxa" w:w="3289"/>
          </w:tcPr>
          <w:p>
            <w:r>
              <w:t>双任务冻结</w:t>
            </w:r>
          </w:p>
        </w:tc>
        <w:tc>
          <w:tcPr>
            <w:tcW w:type="dxa" w:w="3289"/>
          </w:tcPr>
          <w:p>
            <w:r>
              <w:t>3–5 人日</w:t>
            </w:r>
          </w:p>
        </w:tc>
      </w:tr>
      <w:tr>
        <w:tc>
          <w:tcPr>
            <w:tcW w:type="dxa" w:w="3289"/>
            <w:shd w:fill="F3F7FC"/>
          </w:tcPr>
          <w:p>
            <w:r>
              <w:t>S4</w:t>
            </w:r>
          </w:p>
        </w:tc>
        <w:tc>
          <w:tcPr>
            <w:tcW w:type="dxa" w:w="3289"/>
            <w:shd w:fill="F3F7FC"/>
            <w:vAlign w:val="center"/>
          </w:tcPr>
          <w:p>
            <w:pPr>
              <w:spacing w:after="20"/>
            </w:pPr>
            <w:r>
              <w:rPr>
                <w:b w:val="0"/>
              </w:rPr>
              <w:t>封装与模块化交付</w:t>
            </w:r>
          </w:p>
        </w:tc>
        <w:tc>
          <w:tcPr>
            <w:tcW w:type="dxa" w:w="3289"/>
            <w:shd w:fill="F3F7FC"/>
            <w:vAlign w:val="center"/>
          </w:tcPr>
          <w:p>
            <w:pPr>
              <w:spacing w:after="20"/>
            </w:pPr>
            <w:r>
              <w:rPr>
                <w:sz w:val="18"/>
              </w:rPr>
              <w:t>17–29 人日</w:t>
            </w:r>
          </w:p>
        </w:tc>
      </w:tr>
    </w:tbl>
    <w:p>
      <w:r>
        <w:t>Studio 剩余路线合计 37–63 人日。按单人有效研发工作量估算，包含设计、实现、测试、短训练、页面验证和文档回写；不包含外部 GPU/资源等待、重大上游兼容问题和范围扩展。</w:t>
      </w:r>
    </w:p>
    <w:p>
      <w:pPr>
        <w:pStyle w:val="Heading1"/>
      </w:pPr>
      <w:r>
        <w:t>10. 产品封装与模块化交付</w:t>
      </w:r>
    </w:p>
    <w:p>
      <w:pPr/>
      <w:r>
        <w:t>正式交付收敛为 Windows 安装包与单一 auto-tune Docker 镜像。镜像以 server 模式提供完整 UI 与统一 API，以 engine 模式关闭 UI、只提供统一任务 API。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6"/>
            <w:vAlign w:val="center"/>
            <w:shd w:fill="17365D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交付形态</w:t>
            </w:r>
          </w:p>
        </w:tc>
        <w:tc>
          <w:tcPr>
            <w:tcW w:type="dxa" w:w="2466"/>
            <w:vAlign w:val="center"/>
            <w:shd w:fill="17365D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安装方式</w:t>
            </w:r>
          </w:p>
        </w:tc>
        <w:tc>
          <w:tcPr>
            <w:tcW w:type="dxa" w:w="2466"/>
            <w:vAlign w:val="center"/>
            <w:shd w:fill="17365D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产品能力</w:t>
            </w:r>
          </w:p>
        </w:tc>
        <w:tc>
          <w:tcPr>
            <w:tcW w:type="dxa" w:w="2466"/>
            <w:vAlign w:val="center"/>
            <w:shd w:fill="17365D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主要场景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Studio for Windows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Windows 安装包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完整界面；本机数据与 GPU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个人工作站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3F7FC"/>
          </w:tcPr>
          <w:p>
            <w:pPr>
              <w:spacing w:after="20"/>
            </w:pPr>
            <w:r>
              <w:rPr>
                <w:b w:val="0"/>
                <w:sz w:val="18"/>
              </w:rPr>
              <w:t>Studio Server</w:t>
            </w:r>
          </w:p>
        </w:tc>
        <w:tc>
          <w:tcPr>
            <w:tcW w:type="dxa" w:w="2466"/>
            <w:vAlign w:val="center"/>
            <w:shd w:fill="F3F7FC"/>
          </w:tcPr>
          <w:p>
            <w:pPr>
              <w:spacing w:after="20"/>
            </w:pPr>
            <w:r>
              <w:rPr>
                <w:sz w:val="18"/>
              </w:rPr>
              <w:t>同一 Docker 镜像；mode=server</w:t>
            </w:r>
          </w:p>
        </w:tc>
        <w:tc>
          <w:tcPr>
            <w:tcW w:type="dxa" w:w="2466"/>
            <w:vAlign w:val="center"/>
            <w:shd w:fill="F3F7FC"/>
          </w:tcPr>
          <w:p>
            <w:pPr>
              <w:spacing w:after="20"/>
            </w:pPr>
            <w:r>
              <w:rPr>
                <w:sz w:val="18"/>
              </w:rPr>
              <w:t>完整界面 + 统一 API；IP/端口访问</w:t>
            </w:r>
          </w:p>
        </w:tc>
        <w:tc>
          <w:tcPr>
            <w:tcW w:type="dxa" w:w="2466"/>
            <w:vAlign w:val="center"/>
            <w:shd w:fill="F3F7FC"/>
          </w:tcPr>
          <w:p>
            <w:pPr>
              <w:spacing w:after="20"/>
            </w:pPr>
            <w:r>
              <w:rPr>
                <w:b w:val="0"/>
                <w:sz w:val="18"/>
              </w:rPr>
              <w:t>共享训练服务器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Training Engine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8"/>
              </w:rPr>
              <w:t>同一 Docker 镜像；mode=engine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8"/>
              </w:rPr>
              <w:t>不启用 UI；仅开放统一任务 API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b w:val="0"/>
                <w:sz w:val="18"/>
              </w:rPr>
              <w:t>公司大平台集成</w:t>
            </w:r>
          </w:p>
        </w:tc>
      </w:tr>
    </w:tbl>
    <w:p>
      <w:pPr/>
      <w:r>
        <w:t>统一入口为 /api/v1/jobs；挂载 GPU 时使用 CUDA，无 GPU 时回退 CPU。首版不做第二镜像、多容器、Linux 原生安装、Python Wheel、多租户和集群调度。</w:t>
      </w:r>
    </w:p>
    <w:p>
      <w:pPr/>
      <w:r/>
    </w:p>
    <w:p>
      <w:pPr>
        <w:pStyle w:val="Heading1"/>
        <w:pageBreakBefore/>
      </w:pPr>
      <w:r>
        <w:t>11. Auto-Tune 三产品生态架构</w:t>
      </w:r>
    </w:p>
    <w:p>
      <w:r>
        <w:t>Studio、Research 与 Cloud 共享品牌、概念模型、任务/数据/运行/指标协议和可复用算法组件，但必须能够分别安装、运行、测试和发布；不得依赖共享可变数据库或直接复制 Studio 业务层实现复用。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1600"/>
        <w:gridCol w:w="3900"/>
        <w:gridCol w:w="3860"/>
      </w:tblGrid>
      <w:tr>
        <w:trPr>
          <w:tblHeader w:val="true"/>
          <w:cantSplit/>
        </w:trP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产品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核心职责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依赖关系</w:t>
            </w:r>
          </w:p>
        </w:tc>
      </w:tr>
      <w:tr>
        <w:trPr>
          <w:cantSplit/>
        </w:trPr>
        <w:tc>
          <w:tcPr>
            <w:tcW w:type="dxa" w:w="1600"/>
          </w:tcPr>
          <w:p>
            <w:r>
              <w:t>Studio</w:t>
            </w:r>
          </w:p>
        </w:tc>
        <w:tc>
          <w:tcPr>
            <w:tcW w:type="dxa" w:w="3900"/>
          </w:tcPr>
          <w:p>
            <w:r>
              <w:t>单机分析、直接训练、LLM/HPO、历史与报告</w:t>
            </w:r>
          </w:p>
        </w:tc>
        <w:tc>
          <w:tcPr>
            <w:tcW w:type="dxa" w:w="3860"/>
          </w:tcPr>
          <w:p>
            <w:r>
              <w:t>当前优先交付；沉淀稳定协议与训练核心</w:t>
            </w:r>
          </w:p>
        </w:tc>
      </w:tr>
      <w:tr>
        <w:trPr>
          <w:cantSplit/>
        </w:trPr>
        <w:tc>
          <w:tcPr>
            <w:tcW w:type="dxa" w:w="1600"/>
            <w:shd w:fill="F3F7FC"/>
          </w:tcPr>
          <w:p>
            <w:r>
              <w:t>Research</w:t>
            </w:r>
          </w:p>
        </w:tc>
        <w:tc>
          <w:tcPr>
            <w:tcW w:type="dxa" w:w="3900"/>
            <w:shd w:fill="F3F7FC"/>
          </w:tcPr>
          <w:p>
            <w:r>
              <w:t>可复现实验、对照/消融、研究资产管理</w:t>
            </w:r>
          </w:p>
        </w:tc>
        <w:tc>
          <w:tcPr>
            <w:tcW w:type="dxa" w:w="3860"/>
            <w:shd w:fill="F3F7FC"/>
          </w:tcPr>
          <w:p>
            <w:r>
              <w:t>复用协议和适配接口，不依赖 Studio UI</w:t>
            </w:r>
          </w:p>
        </w:tc>
      </w:tr>
      <w:tr>
        <w:trPr>
          <w:cantSplit/>
        </w:trPr>
        <w:tc>
          <w:tcPr>
            <w:tcW w:type="dxa" w:w="1600"/>
          </w:tcPr>
          <w:p>
            <w:r>
              <w:t>Cloud</w:t>
            </w:r>
          </w:p>
        </w:tc>
        <w:tc>
          <w:tcPr>
            <w:tcW w:type="dxa" w:w="3900"/>
          </w:tcPr>
          <w:p>
            <w:r>
              <w:t>多用户、任务队列、算力、共享存储、权限与审计</w:t>
            </w:r>
          </w:p>
        </w:tc>
        <w:tc>
          <w:tcPr>
            <w:tcW w:type="dxa" w:w="3860"/>
          </w:tcPr>
          <w:p>
            <w:r>
              <w:t>消费稳定协议，不要求先安装另两款产品</w:t>
            </w:r>
          </w:p>
        </w:tc>
      </w:tr>
    </w:tbl>
    <w:p/>
    <w:p>
      <w:pPr>
        <w:pStyle w:val="Heading1"/>
      </w:pPr>
      <w:r>
        <w:t>12. Auto-Tune Research 后续路线</w:t>
      </w:r>
    </w:p>
    <w:p>
      <w:pPr/>
      <w:r>
        <w:t>Research 定位为 Studio 完成后的次要、实验性扩展线。它复用 Studio 的训练、HPO、LLM 可信执行和试验管理基础，为研发人员提供可重复实验、自动消融和有限结构搜索，不建设完整 NAS 平台或“自主科学家”。</w:t>
      </w:r>
    </w:p>
    <w:p>
      <w:pPr/>
      <w:r>
        <w:t>建议分层：R1 可重复实验与自动消融（6–10 人日）；R2 depth/width/重复次数等模型缩放搜索（5–8 人日）；R3 注册模块替换与结构合法性校验（7–12 人日）；R4 集成、真实训练与研究报告（4–7 人日）。</w:t>
      </w:r>
    </w:p>
    <w:p>
      <w:pPr/>
      <w:r>
        <w:t>完整轻量路线合计 22–37 人日；若首版只完成 R1+R2，可控制在 11–18 人日。</w:t>
      </w:r>
    </w:p>
    <w:p>
      <w:pPr/>
      <w:r>
        <w:t>可复用数据快照、Study/Trial、训练执行、状态、日志、失败恢复、Optuna、LLM 事实包/Schema/校验、指标解析、历史与报告。新增重点是结构注册表、结构配置 Schema、模型构建/前向校验、参数量/FLOPs/延迟指标和消融对比。</w:t>
      </w:r>
    </w:p>
    <w:p>
      <w:pPr/>
      <w:r>
        <w:t>结构搜索只允许在注册表和有限结构空间内操作。LLM 不直接生成或修改 Python 模型源码；HPO/LLM 提出候选，合法性、训练执行和最终排名仍由确定性代码负责。</w:t>
      </w:r>
    </w:p>
    <w:p>
      <w:pPr/>
      <w:r>
        <w:t>首版不做任意拓扑、DARTS/One-shot NAS、自动下载论文模块、开放式多 Agent 科研、多 GPU 大规模搜索或自主论文生成。</w:t>
      </w:r>
    </w:p>
    <w:p>
      <w:pPr/>
      <w:r>
        <w:t>近期决策：Research 暂停讨论、设计和立项，研发资源集中完成 Studio。仅在 Studio 双任务冻结、任务/指标/产物协议稳定后重新评估。</w:t>
      </w:r>
    </w:p>
    <w:p>
      <w:pPr>
        <w:pStyle w:val="Heading1"/>
      </w:pPr>
      <w:r>
        <w:t>13. Auto-Tune Cloud 后续路线</w:t>
      </w:r>
    </w:p>
    <w:p>
      <w:r>
        <w:t>Cloud MVP 建议在 Studio 完成 Windows 与 Docker 单镜像双模式交付且协议稳定后立项，范围包括用户与 RBAC、API 服务、持久任务队列、Worker、共享对象存储/数据库、基础 GPU 资源分配、租户隔离、审计、监控、失败恢复和 Studio 结果导入。</w:t>
      </w:r>
    </w:p>
    <w:p>
      <w:r>
        <w:t>首版不承诺复杂集群编排、计费系统、跨云容灾或企业级高可用。建议工作量：60–110 人日；不包含生产级安全认证、等保/合规、复杂 Kubernetes 多集群和 7×24 运维体系。</w:t>
      </w:r>
    </w:p>
    <w:p>
      <w:pPr>
        <w:pStyle w:val="Heading1"/>
        <w:pageBreakBefore/>
      </w:pPr>
      <w:r>
        <w:t>14. 总体工作量与阶段关系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1800"/>
        <w:gridCol w:w="1700"/>
        <w:gridCol w:w="3800"/>
        <w:gridCol w:w="2060"/>
      </w:tblGrid>
      <w:tr>
        <w:trPr>
          <w:tblHeader w:val="true"/>
          <w:cantSplit/>
        </w:trPr>
        <w:tc>
          <w:tcPr>
            <w:tcW w:type="dxa" w:w="2466"/>
            <w:shd w:fill="17365D"/>
          </w:tcPr>
          <w:p>
            <w:r>
              <w:rPr>
                <w:b/>
                <w:color w:val="FFFFFF"/>
              </w:rPr>
              <w:t>产品线</w:t>
            </w:r>
          </w:p>
        </w:tc>
        <w:tc>
          <w:tcPr>
            <w:tcW w:type="dxa" w:w="2466"/>
            <w:shd w:fill="17365D"/>
          </w:tcPr>
          <w:p>
            <w:r>
              <w:rPr>
                <w:b/>
                <w:color w:val="FFFFFF"/>
              </w:rPr>
              <w:t>建议工作量</w:t>
            </w:r>
          </w:p>
        </w:tc>
        <w:tc>
          <w:tcPr>
            <w:tcW w:type="dxa" w:w="2466"/>
            <w:shd w:fill="17365D"/>
          </w:tcPr>
          <w:p>
            <w:r>
              <w:rPr>
                <w:b/>
                <w:color w:val="FFFFFF"/>
              </w:rPr>
              <w:t>启动条件</w:t>
            </w:r>
          </w:p>
        </w:tc>
        <w:tc>
          <w:tcPr>
            <w:tcW w:type="dxa" w:w="2466"/>
            <w:shd w:fill="17365D"/>
          </w:tcPr>
          <w:p>
            <w:r>
              <w:rPr>
                <w:b/>
                <w:color w:val="FFFFFF"/>
              </w:rPr>
              <w:t>当前状态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Studio</w:t>
            </w:r>
          </w:p>
        </w:tc>
        <w:tc>
          <w:tcPr>
            <w:tcW w:type="dxa" w:w="1700"/>
            <w:vAlign w:val="center"/>
          </w:tcPr>
          <w:p>
            <w:pPr>
              <w:spacing w:after="20"/>
            </w:pPr>
            <w:r>
              <w:rPr>
                <w:sz w:val="18"/>
              </w:rPr>
              <w:t>37–63 人日（剩余）</w:t>
            </w:r>
          </w:p>
        </w:tc>
        <w:tc>
          <w:tcPr>
            <w:tcW w:type="dxa" w:w="3800"/>
          </w:tcPr>
          <w:p>
            <w:r>
              <w:t>当前基线</w:t>
            </w:r>
          </w:p>
        </w:tc>
        <w:tc>
          <w:tcPr>
            <w:tcW w:type="dxa" w:w="2060"/>
          </w:tcPr>
          <w:p>
            <w:r>
              <w:t>Q1.1/Q1.2 已完成；等待线下体验后提交</w:t>
            </w:r>
          </w:p>
        </w:tc>
      </w:tr>
      <w:tr>
        <w:trPr>
          <w:cantSplit/>
        </w:trPr>
        <w:tc>
          <w:tcPr>
            <w:tcW w:type="dxa" w:w="1800"/>
            <w:shd w:fill="F3F7FC"/>
            <w:shd w:fill="F3F7FC"/>
          </w:tcPr>
          <w:p>
            <w:r>
              <w:t>Research 轻量路线</w:t>
            </w:r>
          </w:p>
        </w:tc>
        <w:tc>
          <w:tcPr>
            <w:tcW w:type="dxa" w:w="1700"/>
            <w:shd w:fill="F3F7FC"/>
            <w:shd w:fill="F3F7FC"/>
          </w:tcPr>
          <w:p>
            <w:r>
              <w:t>22–37 人日</w:t>
            </w:r>
          </w:p>
        </w:tc>
        <w:tc>
          <w:tcPr>
            <w:tcW w:type="dxa" w:w="3800"/>
            <w:shd w:fill="F3F7FC"/>
            <w:shd w:fill="F3F7FC"/>
          </w:tcPr>
          <w:p>
            <w:r>
              <w:t>Studio 双任务及协议冻结</w:t>
            </w:r>
          </w:p>
        </w:tc>
        <w:tc>
          <w:tcPr>
            <w:tcW w:type="dxa" w:w="2060"/>
            <w:shd w:fill="F3F7FC"/>
            <w:shd w:fill="F3F7FC"/>
          </w:tcPr>
          <w:p>
            <w:r>
              <w:t>近期冻结，待独立立项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Cloud MVP</w:t>
            </w:r>
          </w:p>
        </w:tc>
        <w:tc>
          <w:tcPr>
            <w:tcW w:type="dxa" w:w="1700"/>
          </w:tcPr>
          <w:p>
            <w:r>
              <w:t>60–110 人日</w:t>
            </w:r>
          </w:p>
        </w:tc>
        <w:tc>
          <w:tcPr>
            <w:tcW w:type="dxa" w:w="3800"/>
            <w:vAlign w:val="center"/>
          </w:tcPr>
          <w:p>
            <w:pPr>
              <w:spacing w:after="20"/>
            </w:pPr>
            <w:r>
              <w:rPr>
                <w:sz w:val="18"/>
              </w:rPr>
              <w:t>Studio 单镜像交付完成且协议稳定</w:t>
            </w:r>
          </w:p>
        </w:tc>
        <w:tc>
          <w:tcPr>
            <w:tcW w:type="dxa" w:w="2060"/>
          </w:tcPr>
          <w:p>
            <w:r>
              <w:t>保留，待独立立项</w:t>
            </w:r>
          </w:p>
        </w:tc>
      </w:tr>
    </w:tbl>
    <w:p/>
    <w:p>
      <w:r>
        <w:t>Studio 剩余路线、Research 与 Cloud 合计 119–210 人日，是顺序开发的有效研发工作量，不是交付承诺。Research 与 Cloud 立项时必须重新完成需求确认、架构规格和风险评估。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5" w:space="4" w:color="2457A7"/>
      </w:pBdr>
    </w:pPr>
    <w:r>
      <w:rPr>
        <w:rFonts w:ascii="Microsoft YaHei" w:hAnsi="Microsoft YaHei"/>
        <w:color w:val="2457A7"/>
        <w:sz w:val="16"/>
      </w:rPr>
      <w:t>Auto-Tune Studio · 产品路线与架构边界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b/>
        <w:color w:val="2457A7"/>
        <w:sz w:val="16"/>
      </w:rPr>
      <w:t>STRATEGY / 路线与架构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7A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