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Auto-Tune Studio 软件操作手册</w:t>
      </w:r>
    </w:p>
    <w:p>
      <w:r>
        <w:t>版本日期：2026-09-25</w:t>
      </w:r>
    </w:p>
    <w:p>
      <w:r>
        <w:t>适用版本：Auto-Tune Studio 0.2.0</w:t>
      </w:r>
    </w:p>
    <w:p>
      <w:pPr>
        <w:pStyle w:val="Heading2"/>
      </w:pPr>
      <w:r>
        <w:t>1. 使用范围</w:t>
      </w:r>
    </w:p>
    <w:p>
      <w:pPr>
        <w:ind w:left="227" w:hanging="227"/>
      </w:pPr>
      <w:r>
        <w:t>1.1 本手册说明 Auto-Tune Studio 已验收功能的页面操作，适用于单人、单机的 YOLOv8 Detect 任务。开始操作前，软件应已按《Auto-Tune Studio 软件安装手册》完成 Windows ZIP 或 Docker GPU 安装，并能够正常打开页面。本手册不重复说明安装、升级和卸载。</w:t>
      </w:r>
    </w:p>
    <w:p>
      <w:pPr>
        <w:ind w:left="227" w:hanging="227"/>
      </w:pPr>
      <w:r>
        <w:t>1.2 推荐操作顺序：录入项目信息 → 配置大模型服务 → 分析数据集并创建快照 → 上传或选择受控权重 → 选择正常训练、HPO 调优或 LLM 调优 → 在训练监控和历史记录中核对结果 → 按需手动导出 ONNX。</w:t>
      </w:r>
    </w:p>
    <w:p>
      <w:pPr>
        <w:pStyle w:val="Heading2"/>
      </w:pPr>
      <w:r>
        <w:t>2. 项目信息录入</w:t>
      </w:r>
    </w:p>
    <w:p>
      <w:pPr>
        <w:ind w:left="227" w:hanging="227"/>
      </w:pPr>
      <w:r>
        <w:t>2.1 打开“项目总览”，在“项目”卡片中点击“编辑”。</w:t>
      </w:r>
    </w:p>
    <w:p>
      <w:pPr>
        <w:ind w:left="227" w:hanging="227"/>
      </w:pPr>
      <w:r>
        <w:t>2.2 填写项目名称、项目描述、检测目标和数据类型。内容应说明实际要检测的对象与缺陷类别，避免只填写“测试”等无法区分项目的信息。</w:t>
      </w:r>
    </w:p>
    <w:p>
      <w:pPr>
        <w:ind w:left="227" w:hanging="227"/>
      </w:pPr>
      <w:r>
        <w:t xml:space="preserve">2.3 按需填写 </w:t>
      </w:r>
      <w:r>
        <w:rPr>
          <w:rFonts w:ascii="Consolas" w:hAnsi="Consolas" w:eastAsia="Microsoft YaHei"/>
          <w:sz w:val="19"/>
        </w:rPr>
        <w:t>data.yaml</w:t>
      </w:r>
      <w:r>
        <w:t xml:space="preserve"> 路径和默认模型。正式训练仍应优先使用数据集分析生成的有效快照，以及受控权重库中的模型。</w:t>
      </w:r>
    </w:p>
    <w:p>
      <w:pPr>
        <w:ind w:left="227" w:hanging="227"/>
      </w:pPr>
      <w:r>
        <w:t>2.4 点击“保存”，确认项目卡片显示的新内容正确。</w:t>
      </w:r>
    </w:p>
    <w:p>
      <w:pPr>
        <w:ind w:left="227" w:hanging="227"/>
      </w:pPr>
      <w:r>
        <w:t>2.5 如修改错误，重新点击“编辑”修正；不要直接修改审计文件或历史训练目录。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3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1  Studio 首页与主要导航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38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2  项目信息编辑与保存</w:t>
      </w:r>
    </w:p>
    <w:p>
      <w:pPr>
        <w:pStyle w:val="Heading2"/>
      </w:pPr>
      <w:r>
        <w:t>3. 大模型信息录入</w:t>
      </w:r>
    </w:p>
    <w:p>
      <w:pPr>
        <w:pStyle w:val="Heading3"/>
      </w:pPr>
      <w:r>
        <w:t>3.1 文本与调参服务</w:t>
      </w:r>
    </w:p>
    <w:p>
      <w:pPr>
        <w:ind w:left="454" w:hanging="227"/>
      </w:pPr>
      <w:r>
        <w:t>3.1.1 在“AI 服务配置”中找到“文本与调参服务”，勾选“启用”。</w:t>
      </w:r>
    </w:p>
    <w:p>
      <w:pPr>
        <w:ind w:left="454" w:hanging="227"/>
      </w:pPr>
      <w:r>
        <w:t>3.1.2 填写供应商、模型名称和 Endpoint。默认使用管理员提供的 DeepSeek 兼容配置；模型名称必须与供应商当前可用名称一致。</w:t>
      </w:r>
    </w:p>
    <w:p>
      <w:pPr>
        <w:ind w:left="454" w:hanging="227"/>
      </w:pPr>
      <w:r>
        <w:t>3.1.3 只有连接可信的本机或内网兼容服务时，才勾选“允许本地或内网模型端点”。公网 Endpoint 应使用 HTTPS。</w:t>
      </w:r>
    </w:p>
    <w:p>
      <w:pPr>
        <w:ind w:left="454" w:hanging="227"/>
      </w:pPr>
      <w:r>
        <w:t>3.1.4 在“新 API Key”中输入密钥，点击“保存密钥”。页面不会回显已保存密钥的原文。</w:t>
      </w:r>
    </w:p>
    <w:p>
      <w:pPr>
        <w:ind w:left="454" w:hanging="227"/>
      </w:pPr>
      <w:r>
        <w:t>3.1.5 点击“保存”保存非敏感配置，再点击“测试连接”。只有连接测试成功后，才开始 LLM 分析或 LLM 调优。</w:t>
      </w:r>
    </w:p>
    <w:p>
      <w:pPr>
        <w:pStyle w:val="Heading3"/>
      </w:pPr>
      <w:r>
        <w:t>3.2 视觉服务</w:t>
      </w:r>
    </w:p>
    <w:p>
      <w:pPr>
        <w:ind w:left="454" w:hanging="227"/>
      </w:pPr>
      <w:r>
        <w:t>3.2.1 视觉服务的录入步骤与文本服务相同。视觉服务只在需要图像辅助分析时启用；未配置视觉服务不影响数据集分析、正常训练和 HPO 调优。</w:t>
      </w:r>
    </w:p>
    <w:p>
      <w:pPr>
        <w:pStyle w:val="Heading3"/>
      </w:pPr>
      <w:r>
        <w:t>3.3 安全要求</w:t>
      </w:r>
    </w:p>
    <w:p>
      <w:pPr>
        <w:ind w:left="454" w:hanging="227"/>
      </w:pPr>
      <w:r>
        <w:t xml:space="preserve">3.3.1 API Key 不得写入 </w:t>
      </w:r>
      <w:r>
        <w:rPr>
          <w:rFonts w:ascii="Consolas" w:hAnsi="Consolas" w:eastAsia="Microsoft YaHei"/>
          <w:sz w:val="19"/>
        </w:rPr>
        <w:t>config.yaml</w:t>
      </w:r>
      <w:r>
        <w:t>、脚本、日志、截图、聊天记录或 Git 仓库。</w:t>
      </w:r>
    </w:p>
    <w:p>
      <w:pPr>
        <w:ind w:left="454" w:hanging="227"/>
      </w:pPr>
      <w:r>
        <w:t>3.3.2 更换密钥时先保存并测试新密钥，再到供应商控制台吊销旧密钥。</w:t>
      </w:r>
    </w:p>
    <w:p>
      <w:pPr>
        <w:ind w:left="454" w:hanging="227"/>
      </w:pPr>
      <w:r>
        <w:t>3.3.3 如果连接失败，依次核对网络、Endpoint、模型名称、账户权限、余额和密钥状态。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546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6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3  文本与视觉 AI 服务配置</w:t>
      </w:r>
    </w:p>
    <w:p>
      <w:pPr>
        <w:pStyle w:val="Heading2"/>
      </w:pPr>
      <w:r>
        <w:t>4. 数据集分析</w:t>
      </w:r>
    </w:p>
    <w:p>
      <w:pPr>
        <w:ind w:left="227" w:hanging="227"/>
      </w:pPr>
      <w:r>
        <w:t>4.1 打开“数据集分析报告”。</w:t>
      </w:r>
    </w:p>
    <w:p>
      <w:pPr>
        <w:ind w:left="227" w:hanging="227"/>
      </w:pPr>
      <w:r>
        <w:t xml:space="preserve">4.2 点击“浏览”选择 YOLO Detect 数据集目录，或输入完整目录路径。正式入口使用目录，目录中应包含 </w:t>
      </w:r>
      <w:r>
        <w:rPr>
          <w:rFonts w:ascii="Consolas" w:hAnsi="Consolas" w:eastAsia="Microsoft YaHei"/>
          <w:sz w:val="19"/>
        </w:rPr>
        <w:t>images/</w:t>
      </w:r>
      <w:r>
        <w:t>、</w:t>
      </w:r>
      <w:r>
        <w:rPr>
          <w:rFonts w:ascii="Consolas" w:hAnsi="Consolas" w:eastAsia="Microsoft YaHei"/>
          <w:sz w:val="19"/>
        </w:rPr>
        <w:t>labels/</w:t>
      </w:r>
      <w:r>
        <w:t xml:space="preserve"> 或有效的 </w:t>
      </w:r>
      <w:r>
        <w:rPr>
          <w:rFonts w:ascii="Consolas" w:hAnsi="Consolas" w:eastAsia="Microsoft YaHei"/>
          <w:sz w:val="19"/>
        </w:rPr>
        <w:t>data.yaml</w:t>
      </w:r>
      <w:r>
        <w:t>。</w:t>
      </w:r>
    </w:p>
    <w:p>
      <w:pPr>
        <w:ind w:left="227" w:hanging="227"/>
      </w:pPr>
      <w:r>
        <w:t>4.3 点击“分析”，等待页面显示质量评分、图片数、标注数、标注率、模糊比例、目标框尺寸、类别均衡和空间分布等结果。</w:t>
      </w:r>
    </w:p>
    <w:p>
      <w:pPr>
        <w:ind w:left="227" w:hanging="227"/>
      </w:pPr>
      <w:r>
        <w:t>4.4 先处理缺图、缺标签、类别错误、严重模糊和异常框等问题，再用于正式训练。</w:t>
      </w:r>
    </w:p>
    <w:p>
      <w:pPr>
        <w:ind w:left="227" w:hanging="227"/>
      </w:pPr>
      <w:r>
        <w:t>4.5 在“数据集快照”中设置验证集比例和随机种子，点击“创建训练快照”。</w:t>
      </w:r>
    </w:p>
    <w:p>
      <w:pPr>
        <w:ind w:left="227" w:hanging="227"/>
      </w:pPr>
      <w:r>
        <w:t>4.6 只有状态显示“快照有效”时，才进入正常训练、HPO 或可执行的 LLM 调优。快照会复制训练输入，不会移动或改写原始数据；不要手工修改快照内容。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5332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3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4  数据集目录选择入口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47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5  数据集质量与标注分析结果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906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6  数据集快照列表与有效状态</w:t>
      </w:r>
    </w:p>
    <w:p>
      <w:pPr>
        <w:pStyle w:val="Heading2"/>
      </w:pPr>
      <w:r>
        <w:t>5. 模型库与 ONNX 导出</w:t>
      </w:r>
    </w:p>
    <w:p>
      <w:pPr>
        <w:pStyle w:val="Heading3"/>
      </w:pPr>
      <w:r>
        <w:t>5.1 上传和选择权重</w:t>
      </w:r>
    </w:p>
    <w:p>
      <w:pPr>
        <w:ind w:left="454" w:hanging="227"/>
      </w:pPr>
      <w:r>
        <w:t>5.1.1 打开受控权重库，点击上传模型。</w:t>
      </w:r>
    </w:p>
    <w:p>
      <w:pPr>
        <w:ind w:left="454" w:hanging="227"/>
      </w:pPr>
      <w:r>
        <w:t xml:space="preserve">5.1.2 只选择来源可信且与当前 Ultralytics 版本兼容的 </w:t>
      </w:r>
      <w:r>
        <w:rPr>
          <w:rFonts w:ascii="Consolas" w:hAnsi="Consolas" w:eastAsia="Microsoft YaHei"/>
          <w:sz w:val="19"/>
        </w:rPr>
        <w:t>.pt</w:t>
      </w:r>
      <w:r>
        <w:t xml:space="preserve"> 文件。</w:t>
      </w:r>
    </w:p>
    <w:p>
      <w:pPr>
        <w:ind w:left="454" w:hanging="227"/>
      </w:pPr>
      <w:r>
        <w:t>5.1.3 确认文件名、大小、SHA-256 和来源类型。系统会自动处理重名，但不会把上传内容当作普通路径直接执行。</w:t>
      </w:r>
    </w:p>
    <w:p>
      <w:pPr>
        <w:ind w:left="454" w:hanging="227"/>
      </w:pPr>
      <w:r>
        <w:t>5.1.4 正常训练和 HPO 只从受控权重库选择初始权重，不输入任意服务器路径。</w:t>
      </w:r>
    </w:p>
    <w:p>
      <w:pPr>
        <w:ind w:left="454" w:hanging="227"/>
      </w:pPr>
      <w:r>
        <w:t>5.1.5 兼容来源的只读权重可以用于查看，但不能通过受控上传权重的导出入口生成 ONNX。</w:t>
      </w:r>
    </w:p>
    <w:p>
      <w:pPr>
        <w:pStyle w:val="Heading3"/>
      </w:pPr>
      <w:r>
        <w:t>5.2 手动导出 ONNX</w:t>
      </w:r>
    </w:p>
    <w:p>
      <w:pPr>
        <w:ind w:left="454" w:hanging="227"/>
      </w:pPr>
      <w:r>
        <w:t xml:space="preserve">5.2.1 在受控权重库选择已上传且来源可信的 </w:t>
      </w:r>
      <w:r>
        <w:rPr>
          <w:rFonts w:ascii="Consolas" w:hAnsi="Consolas" w:eastAsia="Microsoft YaHei"/>
          <w:sz w:val="19"/>
        </w:rPr>
        <w:t>.pt</w:t>
      </w:r>
      <w:r>
        <w:t xml:space="preserve"> 权重。</w:t>
      </w:r>
    </w:p>
    <w:p>
      <w:pPr>
        <w:ind w:left="454" w:hanging="227"/>
      </w:pPr>
      <w:r>
        <w:t>5.2.2 点击“导出 ONNX”，确认本次操作会在隔离子进程中加载可信权重。</w:t>
      </w:r>
    </w:p>
    <w:p>
      <w:pPr>
        <w:ind w:left="454" w:hanging="227"/>
      </w:pPr>
      <w:r>
        <w:t xml:space="preserve">5.2.3 首版正式能力使用 FP32，固定 </w:t>
      </w:r>
      <w:r>
        <w:rPr>
          <w:rFonts w:ascii="Consolas" w:hAnsi="Consolas" w:eastAsia="Microsoft YaHei"/>
          <w:sz w:val="19"/>
        </w:rPr>
        <w:t>imgsz=640</w:t>
      </w:r>
      <w:r>
        <w:t>、</w:t>
      </w:r>
      <w:r>
        <w:rPr>
          <w:rFonts w:ascii="Consolas" w:hAnsi="Consolas" w:eastAsia="Microsoft YaHei"/>
          <w:sz w:val="19"/>
        </w:rPr>
        <w:t>opset=17</w:t>
      </w:r>
      <w:r>
        <w:t>、</w:t>
      </w:r>
      <w:r>
        <w:rPr>
          <w:rFonts w:ascii="Consolas" w:hAnsi="Consolas" w:eastAsia="Microsoft YaHei"/>
          <w:sz w:val="19"/>
        </w:rPr>
        <w:t>dynamic=False</w:t>
      </w:r>
      <w:r>
        <w:t>、</w:t>
      </w:r>
      <w:r>
        <w:rPr>
          <w:rFonts w:ascii="Consolas" w:hAnsi="Consolas" w:eastAsia="Microsoft YaHei"/>
          <w:sz w:val="19"/>
        </w:rPr>
        <w:t>simplify=False</w:t>
      </w:r>
      <w:r>
        <w:t xml:space="preserve"> 和 </w:t>
      </w:r>
      <w:r>
        <w:rPr>
          <w:rFonts w:ascii="Consolas" w:hAnsi="Consolas" w:eastAsia="Microsoft YaHei"/>
          <w:sz w:val="19"/>
        </w:rPr>
        <w:t>nms=False</w:t>
      </w:r>
      <w:r>
        <w:t>。</w:t>
      </w:r>
    </w:p>
    <w:p>
      <w:pPr>
        <w:ind w:left="454" w:hanging="227"/>
      </w:pPr>
      <w:r>
        <w:t>5.2.4 等待状态从“导出中”变为“完成”。不要并发重复点击同一权重的导出按钮。</w:t>
      </w:r>
    </w:p>
    <w:p>
      <w:pPr>
        <w:ind w:left="454" w:hanging="227"/>
      </w:pPr>
      <w:r>
        <w:t>5.2.5 完成后核对 ONNX 文件名、大小、来源模型和下载入口。</w:t>
      </w:r>
    </w:p>
    <w:p>
      <w:pPr>
        <w:ind w:left="454" w:hanging="227"/>
      </w:pPr>
      <w:r>
        <w:t>5.2.6 如果目标文件已经存在，系统会明确拒绝覆盖。确需重新导出时，使用不同文件名重新上传可信权重。</w:t>
      </w:r>
    </w:p>
    <w:p>
      <w:pPr>
        <w:ind w:left="454" w:hanging="227"/>
      </w:pPr>
      <w:r>
        <w:t>5.2.7 导出失败不会改变正常训练、HPO 或 LLM 调优的既有终态。失败提示只显示稳定错误码和处理建议，不应包含服务器路径或异常堆栈。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869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7  受控权重库与模型选择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462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8  FP32 ONNX 导出完成与下载入口</w:t>
      </w:r>
    </w:p>
    <w:p>
      <w:pPr>
        <w:pStyle w:val="Heading2"/>
      </w:pPr>
      <w:r>
        <w:t>6. LLM 调优</w:t>
      </w:r>
    </w:p>
    <w:p>
      <w:pPr>
        <w:ind w:left="227" w:hanging="227"/>
      </w:pPr>
      <w:r>
        <w:t xml:space="preserve">6.1 先完成至少一次可用训练，并确保其训练目录包含 </w:t>
      </w:r>
      <w:r>
        <w:rPr>
          <w:rFonts w:ascii="Consolas" w:hAnsi="Consolas" w:eastAsia="Microsoft YaHei"/>
          <w:sz w:val="19"/>
        </w:rPr>
        <w:t>results.csv</w:t>
      </w:r>
      <w:r>
        <w:t xml:space="preserve"> 和 </w:t>
      </w:r>
      <w:r>
        <w:rPr>
          <w:rFonts w:ascii="Consolas" w:hAnsi="Consolas" w:eastAsia="Microsoft YaHei"/>
          <w:sz w:val="19"/>
        </w:rPr>
        <w:t>args.yaml</w:t>
      </w:r>
      <w:r>
        <w:t>。</w:t>
      </w:r>
    </w:p>
    <w:p>
      <w:pPr>
        <w:ind w:left="227" w:hanging="227"/>
      </w:pPr>
      <w:r>
        <w:t>6.2 打开“智能训练”，在训练分析区域选择该训练目录或最近训练，点击“分析”。</w:t>
      </w:r>
    </w:p>
    <w:p>
      <w:pPr>
        <w:ind w:left="227" w:hanging="227"/>
      </w:pPr>
      <w:r>
        <w:t>6.3 在模式中选择“大模型调参”。选择参考运行，设置最大重试次数和评价模式；一般先使用“全面模式”。</w:t>
      </w:r>
    </w:p>
    <w:p>
      <w:pPr>
        <w:ind w:left="227" w:hanging="227"/>
      </w:pPr>
      <w:r>
        <w:t>6.4 查看大模型分析报告和建议参数，再点击“确认并开始训练”。系统会依次进行感知、决策、护栏、执行和探针判断。</w:t>
      </w:r>
    </w:p>
    <w:p>
      <w:pPr>
        <w:ind w:left="227" w:hanging="227"/>
      </w:pPr>
      <w:r>
        <w:t>6.5 所有建议都必须通过事实引用、语义规则、参数护栏和审计写盘后才会执行。校验失败时不会启动训练。</w:t>
      </w:r>
    </w:p>
    <w:p>
      <w:pPr>
        <w:ind w:left="227" w:hanging="227"/>
      </w:pPr>
      <w:r>
        <w:t>6.6 如果日志显示“AI 判断无需调整超参数”“调优结束（keep_params）”和“调优完成”，表示系统正常决定保留参考参数并在训练前结束，不是卡住。</w:t>
      </w:r>
    </w:p>
    <w:p>
      <w:pPr>
        <w:ind w:left="227" w:hanging="227"/>
      </w:pPr>
      <w:r>
        <w:t>6.7 调优完成后核对总体最佳结果。如果原参考训练仍然最好，页面会明确显示“总体最佳：原参考训练”，查看和保存操作也会指向该参考运行。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126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2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9  LLM 调优参考运行与训练分析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501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15-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0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10  LLM 对参考训练的诊断结论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566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15-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11  LLM 建议的参数变化与执行确认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912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16-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1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12  LLM 调优配置与运行状态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16-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13  LLM 调优实际训练结果</w:t>
      </w:r>
    </w:p>
    <w:p>
      <w:pPr>
        <w:pStyle w:val="Heading2"/>
      </w:pPr>
      <w:r>
        <w:t>7. HPO 调优</w:t>
      </w:r>
    </w:p>
    <w:p>
      <w:pPr>
        <w:ind w:left="227" w:hanging="227"/>
      </w:pPr>
      <w:r>
        <w:t>7.1 打开“智能训练”，在模式中选择“HPO 算法调参”。HPO 不依赖大模型密钥。</w:t>
      </w:r>
    </w:p>
    <w:p>
      <w:pPr>
        <w:ind w:left="227" w:hanging="227"/>
      </w:pPr>
      <w:r>
        <w:t>7.2 设置试验次数和每次训练轮数，选择已发布的数据集快照和受控权重库中的初始权重。</w:t>
      </w:r>
    </w:p>
    <w:p>
      <w:pPr>
        <w:ind w:left="227" w:hanging="227"/>
      </w:pPr>
      <w:r>
        <w:t>7.3 如需调整采样器、评价模式、计算设备、图片尺寸、Batch、随机种子或单次超时，展开“高级技术选项”。初次使用可保留默认的 TPE 和全面评价。</w:t>
      </w:r>
    </w:p>
    <w:p>
      <w:pPr>
        <w:ind w:left="227" w:hanging="227"/>
      </w:pPr>
      <w:r>
        <w:t>7.4 确认摘要中的数据集、模型、预算、轮数和设备后，点击“创建并开始调优”。提交结果未知时先到“HPO 历史记录”确认，不要连续重复点击。</w:t>
      </w:r>
    </w:p>
    <w:p>
      <w:pPr>
        <w:ind w:left="227" w:hanging="227"/>
      </w:pPr>
      <w:r>
        <w:t>7.5 在进度区域查看试验状态轨道、成功或失败数量、当前最佳结果和最近事件。需要中止时使用“停止”；恢复时选择原研究继续，避免重复创建。</w:t>
      </w:r>
    </w:p>
    <w:p>
      <w:pPr>
        <w:ind w:left="227" w:hanging="227"/>
      </w:pPr>
      <w:r>
        <w:t>7.6 完成后查看排名和最佳参数。只有成功试验参与排名。</w:t>
      </w:r>
    </w:p>
    <w:p>
      <w:pPr>
        <w:ind w:left="227" w:hanging="227"/>
      </w:pPr>
      <w:r>
        <w:t xml:space="preserve">7.7 如需产出正式模型，在“最佳结果与参数使用”中设置正式训练轮数，点击“使用最佳参数开始正式训练”。正式训练完成后可查看关联结果、打开结果目录或下载 </w:t>
      </w:r>
      <w:r>
        <w:rPr>
          <w:rFonts w:ascii="Consolas" w:hAnsi="Consolas" w:eastAsia="Microsoft YaHei"/>
          <w:sz w:val="19"/>
        </w:rPr>
        <w:t>best.pt</w:t>
      </w:r>
      <w:r>
        <w:t>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341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14  HPO 研究创建与运行进度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691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69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15  HPO 排名与最佳参数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9771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7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16  使用 HPO 最佳参数执行正式训练</w:t>
      </w:r>
    </w:p>
    <w:p>
      <w:pPr>
        <w:pStyle w:val="Heading2"/>
      </w:pPr>
      <w:r>
        <w:t>8. 正常训练</w:t>
      </w:r>
    </w:p>
    <w:p>
      <w:pPr>
        <w:ind w:left="227" w:hanging="227"/>
      </w:pPr>
      <w:r>
        <w:t>8.1 先完成数据集分析并确认训练快照有效。</w:t>
      </w:r>
    </w:p>
    <w:p>
      <w:pPr>
        <w:ind w:left="227" w:hanging="227"/>
      </w:pPr>
      <w:r>
        <w:t>8.2 打开“训练监控”，点击“开始新训练”。</w:t>
      </w:r>
    </w:p>
    <w:p>
      <w:pPr>
        <w:ind w:left="227" w:hanging="227"/>
      </w:pPr>
      <w:r>
        <w:t xml:space="preserve">8.3 确认 </w:t>
      </w:r>
      <w:r>
        <w:rPr>
          <w:rFonts w:ascii="Consolas" w:hAnsi="Consolas" w:eastAsia="Microsoft YaHei"/>
          <w:sz w:val="19"/>
        </w:rPr>
        <w:t>data.yaml</w:t>
      </w:r>
      <w:r>
        <w:t xml:space="preserve"> 指向有效快照，从受控权重库选择初始权重，填写 Epochs、</w:t>
      </w:r>
      <w:r>
        <w:rPr>
          <w:rFonts w:ascii="Consolas" w:hAnsi="Consolas" w:eastAsia="Microsoft YaHei"/>
          <w:sz w:val="19"/>
        </w:rPr>
        <w:t>imgsz</w:t>
      </w:r>
      <w:r>
        <w:t xml:space="preserve"> 和 Batch。</w:t>
      </w:r>
    </w:p>
    <w:p>
      <w:pPr>
        <w:ind w:left="227" w:hanging="227"/>
      </w:pPr>
      <w:r>
        <w:t>8.4 点击“开始训练”。系统会执行统一训练门禁；如已有正常训练、LLM 调优或 HPO 训练在运行，需等待其完成或先停止当前任务。</w:t>
      </w:r>
    </w:p>
    <w:p>
      <w:pPr>
        <w:ind w:left="227" w:hanging="227"/>
      </w:pPr>
      <w:r>
        <w:t>8.5 训练过程中查看状态、Epoch、指标和精简日志；排障时展开完整日志。需要中止时点击“停止训练”，不要直接关闭训练进程或删除运行目录。</w:t>
      </w:r>
    </w:p>
    <w:p>
      <w:pPr>
        <w:ind w:left="227" w:hanging="227"/>
      </w:pPr>
      <w:r>
        <w:t xml:space="preserve">8.6 训练完成后核对 </w:t>
      </w:r>
      <w:r>
        <w:rPr>
          <w:rFonts w:ascii="Consolas" w:hAnsi="Consolas" w:eastAsia="Microsoft YaHei"/>
          <w:sz w:val="19"/>
        </w:rPr>
        <w:t>mAP50</w:t>
      </w:r>
      <w:r>
        <w:t>、</w:t>
      </w:r>
      <w:r>
        <w:rPr>
          <w:rFonts w:ascii="Consolas" w:hAnsi="Consolas" w:eastAsia="Microsoft YaHei"/>
          <w:sz w:val="19"/>
        </w:rPr>
        <w:t>mAP50-95</w:t>
      </w:r>
      <w:r>
        <w:t xml:space="preserve">、Precision、Recall、最终状态和报告入口。页面显示 </w:t>
      </w:r>
      <w:r>
        <w:rPr>
          <w:rFonts w:ascii="Consolas" w:hAnsi="Consolas" w:eastAsia="Microsoft YaHei"/>
          <w:sz w:val="19"/>
        </w:rPr>
        <w:t>completed</w:t>
      </w:r>
      <w:r>
        <w:t xml:space="preserve"> 后再进行结果分析或下一次训练。</w:t>
      </w:r>
    </w:p>
    <w:p>
      <w:pPr>
        <w:ind w:left="227" w:hanging="227"/>
      </w:pPr>
      <w:r>
        <w:t>8.7 在“智能训练”中选择“按原参数训练”，表示使用参考训练的原参数再训练一次；选择“干运行”只生成计划，不启动真实训练。这两个模式与正常训练入口用途不同。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554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55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17  正常训练参数确认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1561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5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18  正常训练监控与指标</w:t>
      </w:r>
    </w:p>
    <w:p>
      <w:pPr>
        <w:pStyle w:val="Heading2"/>
      </w:pPr>
      <w:r>
        <w:t>9. 历史记录</w:t>
      </w:r>
    </w:p>
    <w:p>
      <w:pPr>
        <w:ind w:left="227" w:hanging="227"/>
      </w:pPr>
      <w:r>
        <w:t>9.1 打开“历史记录”，查看正常训练和调优产生的运行记录。</w:t>
      </w:r>
    </w:p>
    <w:p>
      <w:pPr>
        <w:ind w:left="227" w:hanging="227"/>
      </w:pPr>
      <w:r>
        <w:t>9.2 可按数据集、来源和状态筛选，按运行名或模型搜索，并按时间、运行名或指标排序。</w:t>
      </w:r>
    </w:p>
    <w:p>
      <w:pPr>
        <w:ind w:left="227" w:hanging="227"/>
      </w:pPr>
      <w:r>
        <w:t>9.3 点击记录查看运行身份、数据快照、模型、实际参数、指标、状态、日志、训练报告和调优审计。</w:t>
      </w:r>
    </w:p>
    <w:p>
      <w:pPr>
        <w:ind w:left="227" w:hanging="227"/>
      </w:pPr>
      <w:r>
        <w:t>9.4 选择 2–5 条记录可进行实验对比。比较前应确认数据快照、初始权重、评价模式和训练条件具有可比性。</w:t>
      </w:r>
    </w:p>
    <w:p>
      <w:pPr>
        <w:ind w:left="227" w:hanging="227"/>
      </w:pPr>
      <w:r>
        <w:t>9.5 HPO 研究级历史在“智能训练”的“HPO 历史记录”中查看；普通训练和 LLM 调优结果同时进入统一训练历史。</w:t>
      </w:r>
    </w:p>
    <w:p>
      <w:pPr>
        <w:ind w:left="227" w:hanging="227"/>
      </w:pPr>
      <w:r>
        <w:t>9.6 页面显示“SQLite 索引”时使用本地查询索引；显示“JSON 回退”时仍可读取事实文件，但搜索、排序或分页能力可能受限。必要时先运行索引审计，再按提示重建索引。</w:t>
      </w:r>
    </w:p>
    <w:p>
      <w:pPr>
        <w:ind w:left="227" w:hanging="227"/>
      </w:pPr>
      <w:r>
        <w:t>9.7 “导入旧历史”仅用于将遗留运行纳入索引，不会修改原训练产物。导入后应抽查运行名、状态和指标是否一致。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3695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36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19  训练历史筛选与结果列表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811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18-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20  多次训练的参数和指标对比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939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-18-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93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595959"/>
          <w:sz w:val="18"/>
        </w:rPr>
        <w:t>图 21  单次实验详情与来源信息</w:t>
      </w:r>
    </w:p>
    <w:p>
      <w:pPr>
        <w:pStyle w:val="Heading2"/>
      </w:pPr>
      <w:r>
        <w:t>10. 常见状态判断</w:t>
      </w:r>
    </w:p>
    <w:p>
      <w:pPr>
        <w:ind w:left="227" w:hanging="227"/>
      </w:pPr>
      <w:r>
        <w:t xml:space="preserve">10.1 </w:t>
      </w:r>
      <w:r>
        <w:rPr>
          <w:rFonts w:ascii="Consolas" w:hAnsi="Consolas" w:eastAsia="Microsoft YaHei"/>
          <w:sz w:val="19"/>
        </w:rPr>
        <w:t>completed</w:t>
      </w:r>
      <w:r>
        <w:t>：任务已正常结束。</w:t>
      </w:r>
    </w:p>
    <w:p>
      <w:pPr>
        <w:ind w:left="227" w:hanging="227"/>
      </w:pPr>
      <w:r>
        <w:t xml:space="preserve">10.2 </w:t>
      </w:r>
      <w:r>
        <w:rPr>
          <w:rFonts w:ascii="Consolas" w:hAnsi="Consolas" w:eastAsia="Microsoft YaHei"/>
          <w:sz w:val="19"/>
        </w:rPr>
        <w:t>failed</w:t>
      </w:r>
      <w:r>
        <w:t>：任务失败，先查看错误码和完整日志，不要重复提交相同任务。</w:t>
      </w:r>
    </w:p>
    <w:p>
      <w:pPr>
        <w:ind w:left="227" w:hanging="227"/>
      </w:pPr>
      <w:r>
        <w:t xml:space="preserve">10.3 </w:t>
      </w:r>
      <w:r>
        <w:rPr>
          <w:rFonts w:ascii="Consolas" w:hAnsi="Consolas" w:eastAsia="Microsoft YaHei"/>
          <w:sz w:val="19"/>
        </w:rPr>
        <w:t>cancelled</w:t>
      </w:r>
      <w:r>
        <w:t>：任务已被用户停止。</w:t>
      </w:r>
    </w:p>
    <w:p>
      <w:pPr>
        <w:ind w:left="227" w:hanging="227"/>
      </w:pPr>
      <w:r>
        <w:t xml:space="preserve">10.4 </w:t>
      </w:r>
      <w:r>
        <w:rPr>
          <w:rFonts w:ascii="Consolas" w:hAnsi="Consolas" w:eastAsia="Microsoft YaHei"/>
          <w:sz w:val="19"/>
        </w:rPr>
        <w:t>keep_params</w:t>
      </w:r>
      <w:r>
        <w:t>：LLM 决定保留原参数；自动调优可能不启动训练并直接完成。</w:t>
      </w:r>
    </w:p>
    <w:p>
      <w:pPr>
        <w:ind w:left="227" w:hanging="227"/>
      </w:pPr>
      <w:r>
        <w:t>10.5 “请求结果未知”：先到历史记录或当前任务区确认是否已经创建，避免重复点击。</w:t>
      </w:r>
    </w:p>
    <w:p>
      <w:pPr>
        <w:ind w:left="227" w:hanging="227"/>
      </w:pPr>
      <w:r>
        <w:t>10.6 “快照损坏”或“快照未解析”：不得开始训练，应重新分析数据集并创建有效快照。</w:t>
      </w:r>
    </w:p>
    <w:p>
      <w:pPr>
        <w:pStyle w:val="Heading2"/>
      </w:pPr>
      <w:r>
        <w:t>11. 操作边界</w:t>
      </w:r>
    </w:p>
    <w:p>
      <w:pPr>
        <w:ind w:left="227" w:hanging="227"/>
      </w:pPr>
      <w:r>
        <w:t>11.1 不在训练期间修改数据快照、运行目录或审计文件。</w:t>
      </w:r>
    </w:p>
    <w:p>
      <w:pPr>
        <w:ind w:left="227" w:hanging="227"/>
      </w:pPr>
      <w:r>
        <w:t>11.2 不把真实配置、数据集、权重、训练产物、日志或凭据提交到 GitHub。</w:t>
      </w:r>
    </w:p>
    <w:p>
      <w:pPr>
        <w:ind w:left="227" w:hanging="227"/>
      </w:pPr>
      <w:r>
        <w:t>11.3 不把单机 Studio 直接暴露为多人服务。</w:t>
      </w:r>
    </w:p>
    <w:p>
      <w:pPr>
        <w:ind w:left="227" w:hanging="227"/>
      </w:pPr>
      <w:r>
        <w:t>11.4 不用 HPO 结果再交给 LLM 裁决；正常训练、HPO 和 LLM 调优是三种独立策略。</w:t>
      </w:r>
    </w:p>
    <w:p>
      <w:pPr>
        <w:ind w:left="227" w:hanging="227"/>
      </w:pPr>
      <w:r>
        <w:t>11.5 软件安装、部署、升级、卸载和 Docker 操作见《Auto-Tune Studio 软件安装手册》。</w:t>
      </w:r>
    </w:p>
    <w:sectPr w:rsidR="00FC693F" w:rsidRPr="0006063C" w:rsidSect="00034616">
      <w:footerReference w:type="default" r:id="rId9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06060"/>
        <w:sz w:val="16"/>
      </w:rPr>
      <w:t>Auto-Tune Studio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