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/>
        <w:jc w:val="left"/>
      </w:pPr>
      <w:r>
        <w:rPr>
          <w:b/>
          <w:color w:val="D97706"/>
          <w:sz w:val="18"/>
        </w:rPr>
        <w:t>EXECUTION / 实施与工期</w:t>
      </w:r>
    </w:p>
    <w:p>
      <w:pPr>
        <w:pStyle w:val="Title"/>
        <w:spacing w:after="80"/>
        <w:pBdr>
          <w:bottom w:val="single" w:sz="22" w:space="8" w:color="D97706"/>
        </w:pBdr>
      </w:pPr>
      <w:r>
        <w:t>Auto-Tune 后续研发实施计划与工期评估</w:t>
      </w:r>
    </w:p>
    <w:p>
      <w:pPr>
        <w:pStyle w:val="Subtitle"/>
        <w:spacing w:after="240"/>
      </w:pPr>
      <w:r>
        <w:rPr>
          <w:color w:val="D97706"/>
        </w:rPr>
        <w:t>仅记录未完成批次、顺序、工作量与验收门槛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00"/>
            <w:shd w:fill="FCE4C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8A3F0A"/>
              </w:rPr>
              <w:t>版本</w:t>
            </w:r>
          </w:p>
        </w:tc>
        <w:tc>
          <w:tcPr>
            <w:tcW w:type="dxa" w:w="78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r>
              <w:t>2026-09-02</w:t>
            </w:r>
          </w:p>
        </w:tc>
      </w:tr>
      <w:tr>
        <w:tc>
          <w:tcPr>
            <w:tcW w:type="dxa" w:w="1500"/>
            <w:shd w:fill="FCE4C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8A3F0A"/>
              </w:rPr>
              <w:t>适用基线</w:t>
            </w:r>
          </w:p>
        </w:tc>
        <w:tc>
          <w:tcPr>
            <w:tcW w:type="dxa" w:w="78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Auto-Tune Studio v0.2；Q1.1/Q1.2 已完成，下一批次 H1</w:t>
            </w:r>
          </w:p>
        </w:tc>
      </w:tr>
    </w:tbl>
    <w:p>
      <w:pPr>
        <w:shd w:fill="FCE4C7"/>
        <w:spacing w:before="100" w:after="100"/>
      </w:pPr>
      <w:r>
        <w:rPr>
          <w:color w:val="8A3F0A"/>
          <w:b/>
        </w:rPr>
        <w:t>  执行计划  </w:t>
      </w:r>
    </w:p>
    <w:p/>
    <w:p>
      <w:pPr>
        <w:pStyle w:val="Heading1"/>
        <w:pBdr>
          <w:bottom w:val="single" w:sz="7" w:space="3" w:color="D97706"/>
        </w:pBdr>
      </w:pPr>
      <w:r>
        <w:t>1. 总体安排</w:t>
      </w:r>
    </w:p>
    <w:p>
      <w:r>
        <w:t>后续顺序：H1 Detect HPO → C1 Classify 直接训练 → C2 Classify 调优 → F1 双任务冻结 → S4 封装与模块化交付。Q1.1/Q1.2 已联合验收，待艾卡线下体验确认后统一提交。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900"/>
            <w:shd w:fill="8A3F0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批次</w:t>
            </w:r>
          </w:p>
        </w:tc>
        <w:tc>
          <w:tcPr>
            <w:tcW w:type="dxa" w:w="1350"/>
            <w:shd w:fill="8A3F0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工作量</w:t>
            </w:r>
          </w:p>
        </w:tc>
        <w:tc>
          <w:tcPr>
            <w:tcW w:type="dxa" w:w="3700"/>
            <w:shd w:fill="8A3F0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核心交付</w:t>
            </w:r>
          </w:p>
        </w:tc>
        <w:tc>
          <w:tcPr>
            <w:tcW w:type="dxa" w:w="3410"/>
            <w:shd w:fill="8A3F0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退出门槛</w:t>
            </w:r>
          </w:p>
        </w:tc>
      </w:tr>
      <w:tr>
        <w:tc>
          <w:tcPr>
            <w:tcW w:type="dxa" w:w="9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Q1.2（已完成）</w:t>
            </w:r>
          </w:p>
        </w:tc>
        <w:tc>
          <w:tcPr>
            <w:tcW w:type="dxa" w:w="1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已完成</w:t>
            </w:r>
          </w:p>
        </w:tc>
        <w:tc>
          <w:tcPr>
            <w:tcW w:type="dxa" w:w="3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固定语义规则、方向/幅度校验、明确失败终态</w:t>
            </w:r>
          </w:p>
        </w:tc>
        <w:tc>
          <w:tcPr>
            <w:tcW w:type="dxa" w:w="34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语义不通不得构造命令或启动训练</w:t>
            </w:r>
          </w:p>
        </w:tc>
      </w:tr>
      <w:tr>
        <w:tc>
          <w:tcPr>
            <w:tcW w:type="dxa" w:w="9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r>
              <w:t>H1</w:t>
            </w:r>
          </w:p>
        </w:tc>
        <w:tc>
          <w:tcPr>
            <w:tcW w:type="dxa" w:w="1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r>
              <w:t>6–10 人日</w:t>
            </w:r>
          </w:p>
        </w:tc>
        <w:tc>
          <w:tcPr>
            <w:tcW w:type="dxa" w:w="3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r>
              <w:t>Optuna TPE、随机基线、可恢复 study</w:t>
            </w:r>
          </w:p>
        </w:tc>
        <w:tc>
          <w:tcPr>
            <w:tcW w:type="dxa" w:w="34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r>
              <w:t>固定预算完成并确定性选优</w:t>
            </w:r>
          </w:p>
        </w:tc>
      </w:tr>
      <w:tr>
        <w:tc>
          <w:tcPr>
            <w:tcW w:type="dxa" w:w="9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C1</w:t>
            </w:r>
          </w:p>
        </w:tc>
        <w:tc>
          <w:tcPr>
            <w:tcW w:type="dxa" w:w="1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7–12 人日</w:t>
            </w:r>
          </w:p>
        </w:tc>
        <w:tc>
          <w:tcPr>
            <w:tcW w:type="dxa" w:w="3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Classify 直接训练、Top-1/Top-5、历史与 UI</w:t>
            </w:r>
          </w:p>
        </w:tc>
        <w:tc>
          <w:tcPr>
            <w:tcW w:type="dxa" w:w="34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最小真实分类训练闭环</w:t>
            </w:r>
          </w:p>
        </w:tc>
      </w:tr>
      <w:tr>
        <w:tc>
          <w:tcPr>
            <w:tcW w:type="dxa" w:w="9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r>
              <w:t>C2</w:t>
            </w:r>
          </w:p>
        </w:tc>
        <w:tc>
          <w:tcPr>
            <w:tcW w:type="dxa" w:w="1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r>
              <w:t>4–7 人日</w:t>
            </w:r>
          </w:p>
        </w:tc>
        <w:tc>
          <w:tcPr>
            <w:tcW w:type="dxa" w:w="3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r>
              <w:t>Classify 专用 LLM/HPO 规则</w:t>
            </w:r>
          </w:p>
        </w:tc>
        <w:tc>
          <w:tcPr>
            <w:tcW w:type="dxa" w:w="34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r>
              <w:t>三策略独立可用且任务不串用</w:t>
            </w:r>
          </w:p>
        </w:tc>
      </w:tr>
      <w:tr>
        <w:tc>
          <w:tcPr>
            <w:tcW w:type="dxa" w:w="9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F1</w:t>
            </w:r>
          </w:p>
        </w:tc>
        <w:tc>
          <w:tcPr>
            <w:tcW w:type="dxa" w:w="1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3–5 人日</w:t>
            </w:r>
          </w:p>
        </w:tc>
        <w:tc>
          <w:tcPr>
            <w:tcW w:type="dxa" w:w="3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双任务集成回归与真实短训练</w:t>
            </w:r>
          </w:p>
        </w:tc>
        <w:tc>
          <w:tcPr>
            <w:tcW w:type="dxa" w:w="34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业务接口与依赖冻结</w:t>
            </w:r>
          </w:p>
        </w:tc>
      </w:tr>
      <w:tr>
        <w:tc>
          <w:tcPr>
            <w:tcW w:type="dxa" w:w="9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r>
              <w:t>S4</w:t>
            </w:r>
          </w:p>
        </w:tc>
        <w:tc>
          <w:tcPr>
            <w:tcW w:type="dxa" w:w="1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pPr>
              <w:spacing w:after="20"/>
            </w:pPr>
            <w:r>
              <w:rPr>
                <w:sz w:val="18"/>
              </w:rPr>
              <w:t>17–29 人日</w:t>
            </w:r>
          </w:p>
        </w:tc>
        <w:tc>
          <w:tcPr>
            <w:tcW w:type="dxa" w:w="3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pPr>
              <w:spacing w:after="20"/>
            </w:pPr>
            <w:r>
              <w:rPr>
                <w:sz w:val="18"/>
              </w:rPr>
              <w:t>统一任务 API、Windows、单 Docker 镜像双模式</w:t>
            </w:r>
          </w:p>
        </w:tc>
        <w:tc>
          <w:tcPr>
            <w:tcW w:type="dxa" w:w="34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8EF"/>
          </w:tcPr>
          <w:p>
            <w:pPr>
              <w:spacing w:after="20"/>
            </w:pPr>
            <w:r>
              <w:rPr>
                <w:sz w:val="18"/>
              </w:rPr>
              <w:t>Windows 与 Docker 两种模式完成真实训练和调用验收</w:t>
            </w:r>
          </w:p>
        </w:tc>
      </w:tr>
    </w:tbl>
    <w:p/>
    <w:p>
      <w:pPr>
        <w:pStyle w:val="Heading1"/>
        <w:pBdr>
          <w:bottom w:val="single" w:sz="7" w:space="3" w:color="D97706"/>
        </w:pBdr>
      </w:pPr>
      <w:r>
        <w:t>2. Q1.2：LLM 调优语义校验（已完成）</w:t>
      </w:r>
    </w:p>
    <w:p>
      <w:pPr>
        <w:pStyle w:val="ListBullet"/>
      </w:pPr>
      <w:r>
        <w:t>已新增 Detect 固定语义规则表，作为校验器与提示词的唯一运行时来源。</w:t>
      </w:r>
    </w:p>
    <w:p>
      <w:pPr>
        <w:pStyle w:val="ListBullet"/>
      </w:pPr>
      <w:r>
        <w:t>校验每个证据是否支持对应参数、修改方向及单轮变化幅度。</w:t>
      </w:r>
    </w:p>
    <w:p>
      <w:pPr>
        <w:pStyle w:val="ListBullet"/>
      </w:pPr>
      <w:r>
        <w:t>语义失败只允许同事实包纠错一次；每次响应先审计，写盘失败或再次校验失败均禁止训练。</w:t>
      </w:r>
    </w:p>
    <w:p>
      <w:pPr>
        <w:pStyle w:val="ListBullet"/>
      </w:pPr>
      <w:r>
        <w:t>首版只覆盖高置信度规则，不开放 model、optimizer、batch 及复杂增强参数。</w:t>
      </w:r>
    </w:p>
    <w:p>
      <w:pPr>
        <w:pStyle w:val="ListBullet"/>
      </w:pPr>
      <w:r>
        <w:t>完成证据：合法语义决策已完成 Detect CUDA 1 epoch 短训练；三类非法语义决策零命令构造、零训练启动；Audit 1.0/1.1/1.2 兼容。</w:t>
      </w:r>
    </w:p>
    <w:p>
      <w:pPr>
        <w:pStyle w:val="Heading1"/>
        <w:pBdr>
          <w:bottom w:val="single" w:sz="7" w:space="3" w:color="D97706"/>
        </w:pBdr>
      </w:pPr>
      <w:r>
        <w:t>3. H1：Detect HPO MVP（6–10 人日）</w:t>
      </w:r>
    </w:p>
    <w:p>
      <w:pPr>
        <w:pStyle w:val="ListBullet"/>
      </w:pPr>
      <w:r>
        <w:t>引入 Optuna TPE，保留随机搜索基线。</w:t>
      </w:r>
    </w:p>
    <w:p>
      <w:pPr>
        <w:pStyle w:val="ListBullet"/>
      </w:pPr>
      <w:r>
        <w:t>study 绑定快照、模型、指标、预算和搜索空间版本。</w:t>
      </w:r>
    </w:p>
    <w:p>
      <w:pPr>
        <w:pStyle w:val="ListBullet"/>
      </w:pPr>
      <w:r>
        <w:t>首版约 6 个高价值参数，条件参数显式约束。</w:t>
      </w:r>
    </w:p>
    <w:p>
      <w:pPr>
        <w:pStyle w:val="ListBullet"/>
      </w:pPr>
      <w:r>
        <w:t>trial 复用现有执行、状态、日志、产物与失败终态。</w:t>
      </w:r>
    </w:p>
    <w:p>
      <w:pPr>
        <w:pStyle w:val="ListBullet"/>
      </w:pPr>
      <w:r>
        <w:t>固定 trial 数顺序执行，最优候选可追加一次验证训练。</w:t>
      </w:r>
    </w:p>
    <w:p>
      <w:pPr>
        <w:pStyle w:val="Heading1"/>
        <w:pBdr>
          <w:bottom w:val="single" w:sz="7" w:space="3" w:color="D97706"/>
        </w:pBdr>
      </w:pPr>
      <w:r>
        <w:t>4. C1：Classify 直接训练（7–12 人日）</w:t>
      </w:r>
    </w:p>
    <w:p>
      <w:r>
        <w:t>完成分类目录/快照、训练命令、Top-1/Top-5、状态、日志、历史、报告、UI 与负向路径。先不接 LLM/HPO，确保任务基础闭环可独立验收。</w:t>
      </w:r>
    </w:p>
    <w:p>
      <w:pPr>
        <w:pStyle w:val="Heading1"/>
        <w:pBdr>
          <w:bottom w:val="single" w:sz="7" w:space="3" w:color="D97706"/>
        </w:pBdr>
      </w:pPr>
      <w:r>
        <w:t>5. C2：Classify LLM/HPO（4–7 人日）</w:t>
      </w:r>
    </w:p>
    <w:p>
      <w:r>
        <w:t>新增 Classify 专用事实画像、参数白名单、Schema 规则、Optuna 搜索空间、目标指标和排名；只复用通用编排，不复用 Detect 语义。</w:t>
      </w:r>
    </w:p>
    <w:p>
      <w:pPr>
        <w:pStyle w:val="Heading1"/>
        <w:pBdr>
          <w:bottom w:val="single" w:sz="7" w:space="3" w:color="D97706"/>
        </w:pBdr>
      </w:pPr>
      <w:r>
        <w:t>6. F1：双任务冻结（3–5 人日）</w:t>
      </w:r>
    </w:p>
    <w:p>
      <w:r>
        <w:t>完成双任务三策略代表路径、完整回归、真实短训练、停止/失败/恢复、依赖和配置事实同步。冻结后才进入跨平台封装。</w:t>
      </w:r>
    </w:p>
    <w:p>
      <w:pPr>
        <w:pStyle w:val="Heading1"/>
        <w:pBdr>
          <w:bottom w:val="single" w:sz="7" w:space="3" w:color="D97706"/>
        </w:pBdr>
      </w:pPr>
      <w:r>
        <w:t>7. S4：封装与模块化交付（17–29 人日）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200"/>
            <w:shd w:fill="8A3F0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子项</w:t>
            </w:r>
          </w:p>
        </w:tc>
        <w:tc>
          <w:tcPr>
            <w:tcW w:type="dxa" w:w="1300"/>
            <w:shd w:fill="8A3F0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工作量</w:t>
            </w:r>
          </w:p>
        </w:tc>
        <w:tc>
          <w:tcPr>
            <w:tcW w:type="dxa" w:w="5860"/>
            <w:shd w:fill="8A3F0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统一任务 API 与核心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4–6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统一 /api/v1/jobs；数据分析、Direct/HPO/LLM、结果分析、状态、日志、停止与产物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Windows 安装版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4–7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完整 Studio；本机数据/GPU；安装、升级、卸载与配置迁移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单 Docker 镜像双模式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4–7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一个镜像、一个容器；server 启用 UI，engine 不启动 UI；GPU/CPU 运行选择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平台接口与安全边界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3–5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目录/NAS 挂载、鉴权、允许根、健康检查、幂等与错误契约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集成交付验收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2–4</w:t>
            </w:r>
          </w:p>
        </w:tc>
        <w:tc>
          <w:tcPr>
            <w:tcW w:type="dxa" w:w="3289"/>
          </w:tcPr>
          <w:p>
            <w:pPr>
              <w:spacing w:after="20"/>
            </w:pPr>
            <w:r>
              <w:rPr>
                <w:sz w:val="18"/>
              </w:rPr>
              <w:t>Windows、server、engine 的分析、训练、停止、重启、日志与产物验收</w:t>
            </w:r>
          </w:p>
        </w:tc>
      </w:tr>
    </w:tbl>
    <w:p/>
    <w:p>
      <w:pPr/>
      <w:r>
        <w:t>交付关系：Docker 只发布一个 auto-tune 镜像并只启动一个容器。AUTO_TUNE_MODE=server 启用完整 UI 与统一 API；AUTO_TUNE_MODE=engine 不注册 UI 路由和静态资源，只开放统一任务 API。</w:t>
      </w:r>
    </w:p>
    <w:p>
      <w:pPr/>
      <w:r>
        <w:t>明确排除第二个 Docker 镜像、Web/Worker 多容器拆分、Linux 原生安装和 Python Wheel 对外交付。公司平台使用同一镜像的 engine 模式，不安装完整 Studio；数据集、模型和结果通过受控目录/NAS 挂载。</w:t>
      </w:r>
    </w:p>
    <w:p>
      <w:pPr>
        <w:pStyle w:val="Heading1"/>
        <w:pBdr>
          <w:bottom w:val="single" w:sz="7" w:space="3" w:color="D97706"/>
        </w:pBdr>
      </w:pPr>
      <w:r>
        <w:t>8. 总工期与估算口径</w:t>
      </w:r>
    </w:p>
    <w:p>
      <w:r>
        <w:t>Studio 剩余路线合计 37–63 人日。按 1 名熟悉现有代码的研发人员估算，包含设计、实现、自动测试、短训练、UI 验证、Docker/Windows 交付验证及文档回写，不等同自然日。</w:t>
      </w:r>
    </w:p>
    <w:p>
      <w:r>
        <w:t>不计入：GPU/数据准备等待、采购或部署审批、重大上游兼容问题、新增任务类型与范围变更。第二个 Docker 镜像、多容器拆分、Linux 原生安装、Python Wheel 对外交付、多租户、集群调度、计费和高可用不进入当前工期。</w:t>
      </w:r>
    </w:p>
    <w:p>
      <w:pPr>
        <w:pStyle w:val="Heading1"/>
        <w:pBdr>
          <w:bottom w:val="single" w:sz="7" w:space="3" w:color="D97706"/>
        </w:pBdr>
      </w:pPr>
      <w:r>
        <w:t>9. 通用发布门槛</w:t>
      </w:r>
    </w:p>
    <w:p>
      <w:pPr>
        <w:pStyle w:val="ListBullet"/>
      </w:pPr>
      <w:r>
        <w:t>每批开始前建立独立规格与任务计划。</w:t>
      </w:r>
    </w:p>
    <w:p>
      <w:pPr>
        <w:pStyle w:val="ListBullet"/>
      </w:pPr>
      <w:r>
        <w:t>每批通过相关测试、完整回归及必要最小真实训练。</w:t>
      </w:r>
    </w:p>
    <w:p>
      <w:pPr>
        <w:pStyle w:val="ListBullet"/>
      </w:pPr>
      <w:r>
        <w:t>新依赖需说明用途、版本与部署影响并取得确认。</w:t>
      </w:r>
    </w:p>
    <w:p>
      <w:pPr>
        <w:pStyle w:val="ListBullet"/>
      </w:pPr>
      <w:r>
        <w:t>每批完成后回写三份 DOCX 与供开发执行的 Markdown。</w:t>
      </w:r>
    </w:p>
    <w:p>
      <w:pPr>
        <w:pStyle w:val="ListBullet"/>
      </w:pPr>
      <w:r>
        <w:t>Q1 已通过 Codex 验收；仍须艾卡线下体验确认后方可提交和推送。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5" w:space="4" w:color="D97706"/>
      </w:pBdr>
    </w:pPr>
    <w:r>
      <w:rPr>
        <w:rFonts w:ascii="Microsoft YaHei" w:hAnsi="Microsoft YaHei"/>
        <w:color w:val="D97706"/>
        <w:sz w:val="16"/>
      </w:rPr>
      <w:t>Auto-Tune Studio · 批次、工期与验收门槛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b/>
        <w:color w:val="D97706"/>
        <w:sz w:val="16"/>
      </w:rPr>
      <w:t>EXECUTION / 实施与工期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A3F0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D9770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8A3F0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