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jc w:val="left"/>
      </w:pPr>
      <w:r>
        <w:rPr>
          <w:b/>
          <w:color w:val="0F766E"/>
          <w:sz w:val="18"/>
        </w:rPr>
        <w:t>STATUS / 进度与交接</w:t>
      </w:r>
    </w:p>
    <w:p>
      <w:pPr>
        <w:pStyle w:val="Title"/>
        <w:spacing w:after="80"/>
        <w:pBdr>
          <w:bottom w:val="single" w:sz="22" w:space="8" w:color="0F766E"/>
        </w:pBdr>
      </w:pPr>
      <w:r>
        <w:t>Auto-Tune 当前研发进度与开发交接</w:t>
      </w:r>
    </w:p>
    <w:p>
      <w:pPr>
        <w:pStyle w:val="Subtitle"/>
        <w:spacing w:after="240"/>
      </w:pPr>
      <w:r>
        <w:rPr>
          <w:color w:val="0F766E"/>
        </w:rPr>
        <w:t>记录当前事实、测试基线与下一开发入口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00"/>
            <w:shd w:fill="D5F0E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115E59"/>
              </w:rPr>
              <w:t>版本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2026-09-02</w:t>
            </w:r>
          </w:p>
        </w:tc>
      </w:tr>
      <w:tr>
        <w:tc>
          <w:tcPr>
            <w:tcW w:type="dxa" w:w="1500"/>
            <w:shd w:fill="D5F0EC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115E59"/>
              </w:rPr>
              <w:t>适用基线</w:t>
            </w:r>
          </w:p>
        </w:tc>
        <w:tc>
          <w:tcPr>
            <w:tcW w:type="dxa" w:w="78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Auto-Tune Studio v0.2；Q1.1/Q1.2 已通过 Codex 联合验收，等待线下体验确认</w:t>
            </w:r>
          </w:p>
        </w:tc>
      </w:tr>
    </w:tbl>
    <w:p>
      <w:pPr>
        <w:shd w:fill="D5F0EC"/>
        <w:spacing w:before="100" w:after="100"/>
      </w:pPr>
      <w:r>
        <w:rPr>
          <w:color w:val="115E59"/>
          <w:b/>
        </w:rPr>
        <w:t>  当前状态  </w:t>
      </w:r>
    </w:p>
    <w:p/>
    <w:p>
      <w:pPr>
        <w:pStyle w:val="Heading1"/>
        <w:pBdr>
          <w:bottom w:val="single" w:sz="7" w:space="3" w:color="0F766E"/>
        </w:pBdr>
      </w:pPr>
      <w:r>
        <w:t>1. 当前结论</w:t>
      </w:r>
    </w:p>
    <w:p>
      <w:pPr>
        <w:pStyle w:val="ListBullet"/>
      </w:pPr>
      <w:r>
        <w:t>当前稳定 Release 为 v0.2；Q1.1/Q1.2 已完成编码、独立测试和 Codex 联合验收，尚未提交。</w:t>
      </w:r>
    </w:p>
    <w:p>
      <w:pPr>
        <w:pStyle w:val="ListBullet"/>
      </w:pPr>
      <w:r>
        <w:t>S1.1–S1.5、S2.0–S2.4 与体验修复 P1–P5 已完成；Q1.1/Q1.2 作为当前工作区的新基线。</w:t>
      </w:r>
    </w:p>
    <w:p>
      <w:pPr>
        <w:pStyle w:val="ListBullet"/>
      </w:pPr>
      <w:r>
        <w:t>Q1.1/Q1.2 已完成联合验收；等待艾卡线下体验确认后再统一提交和推送，下一研发入口为 H1 Detect HPO。</w:t>
      </w:r>
    </w:p>
    <w:p>
      <w:pPr>
        <w:pStyle w:val="ListBullet"/>
      </w:pPr>
      <w:r>
        <w:t>后续只增加 YOLOv8 Classify，不再开发 YOLOv5 Detect。</w:t>
      </w:r>
    </w:p>
    <w:p>
      <w:pPr>
        <w:pStyle w:val="Heading1"/>
        <w:pBdr>
          <w:bottom w:val="single" w:sz="7" w:space="3" w:color="0F766E"/>
        </w:pBdr>
      </w:pPr>
      <w:r>
        <w:t>2. 已完成能力摘要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0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领域</w:t>
            </w:r>
          </w:p>
        </w:tc>
        <w:tc>
          <w:tcPr>
            <w:tcW w:type="dxa" w:w="716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当前基线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训练任务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YOLOv8 Detect 数据分析、直接训练与 LLM 调优闭环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可信执行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参数护栏、预检、精确命令复用与审计链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运行基础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统一身份、状态机、日志、收尾、历史与报告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数据与安全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不可变快照、正式目录入口、凭据管理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索引查询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SQLite 投影与 JSON/训练产物事实源分离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产品体验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S2/P1–P5 页面可用性与中文展示整理</w:t>
            </w:r>
          </w:p>
        </w:tc>
      </w:tr>
    </w:tbl>
    <w:p/>
    <w:p>
      <w:r>
        <w:t>完成细节不在本文重复；需要追溯时查看 Git 提交、测试记录和归档批次文档。</w:t>
      </w:r>
    </w:p>
    <w:p>
      <w:pPr>
        <w:pStyle w:val="Heading1"/>
        <w:pBdr>
          <w:bottom w:val="single" w:sz="7" w:space="3" w:color="0F766E"/>
        </w:pBdr>
      </w:pPr>
      <w:r>
        <w:t>3. 最新验证基线</w:t>
      </w:r>
    </w:p>
    <w:p>
      <w:pPr>
        <w:pStyle w:val="ListBullet"/>
      </w:pPr>
      <w:r>
        <w:t>完整自动化套件：1484 passed，2 warnings，0 skipped；两条 warning 均为既有 sklearn PCA 数值警告。</w:t>
      </w:r>
    </w:p>
    <w:p>
      <w:pPr>
        <w:pStyle w:val="ListBullet"/>
      </w:pPr>
      <w:r>
        <w:t>Q1.1/Q1.2 定向审计与循环测试 71 项、聚合测试 183 项通过；逐次审计失败和非法语义决策的零启动验证通过。</w:t>
      </w:r>
    </w:p>
    <w:p>
      <w:pPr>
        <w:pStyle w:val="ListBullet"/>
      </w:pPr>
      <w:r>
        <w:t>Q1.1/Q1.2 已完成一次 CUDA Detect 1 epoch 短训练；合法决策、实际参数、Schema 1.2 审计、Studio 历史与语义校验列均通过验收。</w:t>
      </w:r>
    </w:p>
    <w:p>
      <w:r>
        <w:t>三类非法语义场景共六次模型响应，命令构造与训练启动均为 0。</w:t>
      </w:r>
    </w:p>
    <w:p>
      <w:pPr>
        <w:pStyle w:val="Heading1"/>
        <w:pBdr>
          <w:bottom w:val="single" w:sz="7" w:space="3" w:color="0F766E"/>
        </w:pBdr>
      </w:pPr>
      <w:r>
        <w:t>4. 当前开发入口：H1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80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步骤</w:t>
            </w:r>
          </w:p>
        </w:tc>
        <w:tc>
          <w:tcPr>
            <w:tcW w:type="dxa" w:w="756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最低交付</w:t>
            </w:r>
          </w:p>
        </w:tc>
      </w:tr>
      <w:t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Q1.1 已完成</w:t>
            </w:r>
          </w:p>
        </w:tc>
        <w:tc>
          <w:tcPr>
            <w:tcW w:type="dxa" w:w="75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版本化事实包绑定当前运行，事实值采用确定性白名单</w:t>
            </w:r>
          </w:p>
        </w:tc>
      </w:tr>
      <w:t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Q1.1 决策合同</w:t>
            </w:r>
          </w:p>
        </w:tc>
        <w:tc>
          <w:tcPr>
            <w:tcW w:type="dxa" w:w="75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严格 Schema、事实包 ID、证据存在性与一次纠错</w:t>
            </w:r>
          </w:p>
        </w:tc>
      </w:tr>
      <w:t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Q1.2 完成记录</w:t>
            </w:r>
          </w:p>
        </w:tc>
        <w:tc>
          <w:tcPr>
            <w:tcW w:type="dxa" w:w="75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校验证据与参数、方向和幅度的语义关系</w:t>
            </w:r>
          </w:p>
        </w:tc>
      </w:tr>
      <w:t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失败边界</w:t>
            </w:r>
          </w:p>
        </w:tc>
        <w:tc>
          <w:tcPr>
            <w:tcW w:type="dxa" w:w="75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语义不通时明确说明原因；再次失败记录终态且不训练</w:t>
            </w:r>
          </w:p>
        </w:tc>
      </w:tr>
      <w:tr>
        <w:tc>
          <w:tcPr>
            <w:tcW w:type="dxa" w:w="18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最终裁决</w:t>
            </w:r>
          </w:p>
        </w:tc>
        <w:tc>
          <w:tcPr>
            <w:tcW w:type="dxa" w:w="75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Guardrails、预检、执行、改善判断和停止条件继续由代码控制</w:t>
            </w:r>
          </w:p>
        </w:tc>
      </w:tr>
    </w:tbl>
    <w:p/>
    <w:p>
      <w:r>
        <w:t>Q1.2 已采用固定语义规则表，在 Q1.1 证据存在性校验之后、Guardrails 之前验证“事实—参数—方向—幅度”；每次响应先审计再继续，首次失败只纠错一次，再失败禁止训练。</w:t>
      </w:r>
    </w:p>
    <w:p>
      <w:pPr>
        <w:pStyle w:val="Heading1"/>
        <w:pBdr>
          <w:bottom w:val="single" w:sz="7" w:space="3" w:color="0F766E"/>
        </w:pBdr>
      </w:pPr>
      <w:r>
        <w:t>5. 后续顺序与剩余工作量</w:t>
      </w:r>
    </w:p>
    <w:p>
      <w:r>
        <w:t>H1：6–10人日；C1：7–12人日；C2：4–7人日；F1：3–5人日；S4：17–29人日。剩余合计 37–63 人日。</w:t>
      </w:r>
    </w:p>
    <w:p>
      <w:pPr>
        <w:pStyle w:val="Heading1"/>
        <w:pBdr>
          <w:bottom w:val="single" w:sz="7" w:space="3" w:color="0F766E"/>
        </w:pBdr>
      </w:pPr>
      <w:r>
        <w:t>6. 固定执行约束</w:t>
      </w:r>
    </w:p>
    <w:p>
      <w:pPr>
        <w:pStyle w:val="ListBullet"/>
      </w:pPr>
      <w:r>
        <w:t>Python、pytest 与项目脚本统一使用 auto_tune Conda 环境。</w:t>
      </w:r>
    </w:p>
    <w:p>
      <w:pPr>
        <w:pStyle w:val="ListBullet"/>
      </w:pPr>
      <w:r>
        <w:t>正式数据接入使用目录选择；ZIP 仅作为遗留兼容路径。</w:t>
      </w:r>
    </w:p>
    <w:p>
      <w:pPr>
        <w:pStyle w:val="ListBullet"/>
      </w:pPr>
      <w:r>
        <w:t>不擅自新增依赖、删除文件、复制大文件或执行破坏性操作。</w:t>
      </w:r>
    </w:p>
    <w:p>
      <w:pPr>
        <w:pStyle w:val="ListBullet"/>
      </w:pPr>
      <w:r>
        <w:t>修改代码后运行相关测试，并保留可复核证据。</w:t>
      </w:r>
    </w:p>
    <w:p>
      <w:pPr>
        <w:pStyle w:val="ListBullet"/>
      </w:pPr>
      <w:r>
        <w:t>当前工作区存在与本次文档整理无关的修改，后续提交不得夹带。</w:t>
      </w:r>
    </w:p>
    <w:p>
      <w:pPr>
        <w:pStyle w:val="ListBullet"/>
      </w:pPr>
      <w:r>
        <w:t>Q1 已通过 Codex 验收；仍须艾卡完成线下体验确认后，才允许提交并推送指定公开仓库。</w:t>
      </w:r>
    </w:p>
    <w:p>
      <w:pPr>
        <w:pStyle w:val="Heading1"/>
        <w:pBdr>
          <w:bottom w:val="single" w:sz="7" w:space="3" w:color="0F766E"/>
        </w:pBdr>
      </w:pPr>
      <w:r>
        <w:t>7. 文档入口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0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7160"/>
            <w:shd w:fill="115E5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  <w:color w:val="FFFFFF"/>
              </w:rPr>
              <w:t>文件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产品路线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Auto-Tune后续研发路线与实施评估_研发执行版.docx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实施与工期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Auto-Tune后续研发实施计划与工期评估.docx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进度与交接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Auto-Tune当前研发进度与开发交接.docx（本文）</w:t>
            </w:r>
          </w:p>
        </w:tc>
      </w:tr>
      <w:tr>
        <w:tc>
          <w:tcPr>
            <w:tcW w:type="dxa" w:w="22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Claude Code 执行</w:t>
            </w:r>
          </w:p>
        </w:tc>
        <w:tc>
          <w:tcPr>
            <w:tcW w:type="dxa" w:w="716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0FAF8"/>
          </w:tcPr>
          <w:p>
            <w:r>
              <w:t>docs 下对应 roadmap / implementation_plan / development_handoff Markdown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5" w:space="4" w:color="0F766E"/>
      </w:pBdr>
    </w:pPr>
    <w:r>
      <w:rPr>
        <w:rFonts w:ascii="Microsoft YaHei" w:hAnsi="Microsoft YaHei"/>
        <w:color w:val="0F766E"/>
        <w:sz w:val="16"/>
      </w:rPr>
      <w:t>Auto-Tune Studio · 基线、证据与下一入口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b/>
        <w:color w:val="0F766E"/>
        <w:sz w:val="16"/>
      </w:rPr>
      <w:t>STATUS / 进度与交接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15E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766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15E5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