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21"/>
        </w:rPr>
        <w:t>技术方案评审与资源申请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48"/>
        </w:rPr>
        <w:t>Auto-Tune 视觉模型自动调优平台</w:t>
      </w:r>
    </w:p>
    <w:p>
      <w:pPr>
        <w:spacing w:before="0" w:after="320" w:line="264" w:lineRule="auto"/>
      </w:pPr>
      <w:r>
        <w:rPr>
          <w:rFonts w:ascii="Calibri" w:hAnsi="Calibri" w:eastAsia="Microsoft YaHei"/>
          <w:b/>
          <w:i w:val="0"/>
          <w:color w:val="1F4D78"/>
          <w:sz w:val="36"/>
        </w:rPr>
        <w:t>后续研发路线与实施评估</w:t>
      </w:r>
    </w:p>
    <w:p>
      <w:pPr>
        <w:spacing w:before="0" w:after="360" w:line="264" w:lineRule="auto"/>
      </w:pPr>
      <w:r>
        <w:rPr>
          <w:rFonts w:ascii="Calibri" w:hAnsi="Calibri" w:eastAsia="Microsoft YaHei"/>
          <w:b w:val="0"/>
          <w:i w:val="0"/>
          <w:color w:val="5B6573"/>
          <w:sz w:val="23"/>
        </w:rPr>
        <w:t>面向技术 Leader：完整范围、技术难度、资源需求、工期与风险门槛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文档日期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2026-08-14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一期：LLM 仅在受控范围内调整超参数并触发训练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规划范围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本地可靠性 → 在线多人平台 → 多任务/版本 → 结构实验 → CVAT 集成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估算口径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工程人日；不含外部采购、生产级运维值守和大规模训练资源排队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建议评审结论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批准分阶段推进；每阶段以验收门槛决定是否进入下一阶段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一句话结论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方向可行，但不能把后续功能当作在现有单机代码上的简单叠加。建议先完成可靠性与领域接口固化，再建设在线队列和数据隔离；模型结构解析与结构自调整应作为独立一期共同交付，并采用注册表、模板和人工审批约束。</w:t>
            </w:r>
          </w:p>
        </w:tc>
      </w:tr>
    </w:tbl>
    <w:p>
      <w:pPr>
        <w:spacing w:after="20"/>
      </w:pPr>
    </w:p>
    <w:p>
      <w:pPr>
        <w:spacing w:before="0" w:after="0" w:line="264" w:lineRule="auto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依据：现有方案审查、implementation_plan_20260814.md、roadmap_20260814.md、当前代码修复结果，以及 81 项自动化测试与 1 epoch 真实训练冒烟验证。</w:t>
      </w:r>
    </w:p>
    <w:p>
      <w:r>
        <w:br w:type="page"/>
      </w:r>
    </w:p>
    <w:p>
      <w:pPr>
        <w:pStyle w:val="Heading1"/>
        <w:keepNext/>
      </w:pPr>
      <w:r>
        <w:t>1. 管理摘要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建议决策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按 A0 → A1/A2/A3 → B → C1/C2/C3 的顺序实施。当前一期维持“只调整超参数”的边界；结构解析和结构自调整在后续同一期交付，但必须与超参数 Agent 分离动作空间。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关键判断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项目已经具备数据分析、训练诊断、超参数调优闭环和 Web 操作入口，适合继续演进，不建议推倒重写。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Module A/B/C 的理念可复用，但接口、事实语义、审计与持久化必须先固化，不能直接视为稳定平台内核。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在线多人平台是最大工程拐点：需要数据库、权限隔离、独立 Worker、GPU 原子租约、事件持久化及恢复机制。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模型结构能力属于高难度实验平台，而不是普通配置功能；价值高，但应晚于可靠性和执行平台。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CVAT 应通过 API 解耦集成，不应合并代码库或让 CVAT 直接管理训练进程。</w:t>
      </w:r>
    </w:p>
    <w:p>
      <w:pPr>
        <w:pStyle w:val="Heading2"/>
        <w:keepNext/>
      </w:pPr>
      <w:r>
        <w:t>1.2 总体投入判断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1800"/>
        <w:gridCol w:w="53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口径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估算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剩余完整研发工作量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 46–82 人日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按当前 A0 大部完成后计算；含 A1/A2/A3、B、C1/C2/C3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单人串行日历周期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 10–18 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含联调、评审、缓冲；不建议用于在线平台与结构平台并行目标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 人核心团队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 7–12 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平台工程与算法/训练工程部分并行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 人跨职能团队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 5–9 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后端/平台、ML、前端/QA 并行；仍受 GPU 与验收依赖约束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注：日历周期为规划估算，不是承诺上线日期；外部环境、数据质量、GPU 可用性和 Ultralytics/CVAT 兼容性会影响区间。</w:t>
      </w:r>
    </w:p>
    <w:p>
      <w:r>
        <w:br w:type="page"/>
      </w:r>
    </w:p>
    <w:p>
      <w:pPr>
        <w:pStyle w:val="Heading1"/>
        <w:keepNext/>
      </w:pPr>
      <w:r>
        <w:t>2. 当前基线与已验证能力</w:t>
      </w:r>
    </w:p>
    <w:p>
      <w:pPr>
        <w:pStyle w:val="Heading2"/>
        <w:keepNext/>
      </w:pPr>
      <w:r>
        <w:t>2.1 现有能力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4660"/>
        <w:gridCol w:w="280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领域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当前能力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成熟度判断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Module A 数据分析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图像质量、bbox 几何、类别分布、聚类与报告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可用；多任务标签仍需适配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Module B 训练诊断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数值摘要、规则诊断、LLM 文本解释、视觉分析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可用；需持续提升事实一致性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Module C 自动调优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感知→决策→护栏→训练→探针→复盘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一期闭环已具备；需强化审计和异常策略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Web UI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目录选择、分析、训练、SSE、结果展示、报告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单机可用；多人和恢复能力不足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存储/调度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JSON 文件、本地 subprocess、单会话 SSE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仅适合单机原型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本轮已完成的可靠性修复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建立统一超参数注册表，Prompt、Guardrails、执行器共享参数语义。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统一校验 hyperparameter_changes 与 training_overrides，Guardrails 清洗值成为唯一可执行值。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拦截未知参数、类型错误和 optimizer=auto 与显式学习率/动量冲突。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修复 Module B 嵌套配置、Early Stopping 读取与训练前后指标差值反馈。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按当前 Python 环境解析 YOLO 入口，减少 PATH 偶然性。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训练完成后同步 KPI、结果载荷和关键日志；保留 ZIP 仅作为安全兼容路径，正式操作改为直接选择目录。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验证证据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自动化测试：81 passed，2 warnings。真实训练：train38，epochs=1；训练完成事件成功返回 precision、recall、mAP50、mAP50-95。该结果证明短流程可运行，但不等价于模型质量达标。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目标架构与边界</w:t>
      </w:r>
    </w:p>
    <w:p>
      <w:pPr>
        <w:pStyle w:val="Heading2"/>
        <w:keepNext/>
      </w:pPr>
      <w:r>
        <w:t>3.1 四个稳定领域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4400"/>
        <w:gridCol w:w="336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领域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关键对象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数据域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数据集接入、不可变快照、质量分析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Dataset、Snapshot、QualityReport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训练域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任务、参数、GPU/进程、产物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TrainingJob、Lease、Checkpoint、Artifact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分析域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数值事实、规则诊断、LLM/视觉解释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Facts、Issue、AnalysisReport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实验域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超参数/结构实验、对比、最优模型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Experiment、Variant、Decision、Score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一期与后续结构一期的边界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3830"/>
        <w:gridCol w:w="383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能力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一期：超参数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后续结构一期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LLM 动作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仅建议白名单超参数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仅选择注册模块和合法模板变体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执行输入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Guardrails 输出的 sanitized 参数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结构生成器验证后的结构指纹/YAML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自由度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每轮 1–2 个相关参数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优先单结构维度或小组合消融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审批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可配置自动执行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默认人工审批，实验与生产分离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禁止事项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命令、任意参数、绕过护栏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任意 import、任意 Python、任意 YAML tag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9E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核心安全原则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Python 产生事实，规则系统进行确定性判断，LLM 负责解释与有限决策。LLM 不直接生成或执行命令，也不成为训练参数或模型结构的最终可信源。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本地与在线共存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本地和在线共享领域服务及适配器；持久化、认证、对象存储和调度通过接口替换。本地可使用单用户模式，在线必须开启用户、权限、配额、队列和审计。</w:t>
      </w:r>
    </w:p>
    <w:p>
      <w:r>
        <w:br w:type="page"/>
      </w:r>
    </w:p>
    <w:p>
      <w:pPr>
        <w:pStyle w:val="Heading1"/>
        <w:keepNext/>
      </w:pPr>
      <w:r>
        <w:t>4. 分阶段研发路线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760"/>
        <w:gridCol w:w="3150"/>
        <w:gridCol w:w="900"/>
        <w:gridCol w:w="1450"/>
        <w:gridCol w:w="3100"/>
      </w:tblGrid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阶段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目标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难度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工作量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进入条件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A0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闭环可靠性收尾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中高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剩余约 2–4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当前代码基线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任务/YOLO 版本适配框架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中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2–4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A0 参数语义稳定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Linux 与部署基线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中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1–2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目标服务器可用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本地交互体验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中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1–3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目录边界确定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在线多人内部可用版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15–25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A0、A2 完成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分割/OBB/分类/v5 等扩展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中高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8–15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A1 完成，业务优先级明确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结构解析 + 受控结构自调整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很高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12–20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实验域、Worker、资源预算可用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CVAT 解耦集成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8–15 人日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B 队列/API 稳定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推荐顺序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先完成 A0：确保任何进入训练的参数都可解释、可校验、可审计。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A1、A2、A3 可有限并行，但 A1 不应早于 A0 参数注册表稳定。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B 先交付内部可用版，再评估生产化稳定性周期。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C1 按真实业务需求逐项交付，避免一次性泛化所有任务。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C2 作为独立结构实验一期；C3 复用 B 的任务队列和模型产物接口。</w:t>
      </w:r>
    </w:p>
    <w:p>
      <w:r>
        <w:br w:type="page"/>
      </w:r>
    </w:p>
    <w:p>
      <w:pPr>
        <w:pStyle w:val="Heading1"/>
        <w:keepNext/>
      </w:pPr>
      <w:r>
        <w:t>5. 阶段 A：本地闭环与扩展底座</w:t>
      </w:r>
    </w:p>
    <w:p>
      <w:pPr>
        <w:pStyle w:val="Heading2"/>
        <w:keepNext/>
      </w:pPr>
      <w:r>
        <w:t>5.1 A0 可靠性收尾（剩余约 2–4 人日）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4760"/>
        <w:gridCol w:w="280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工作包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内容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审计闭环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记录原始建议、候选值、护栏值、实际命令、指标差值和错误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参数审计一致率 100%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数据快照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训练划分不移动原始文件，生成不可变快照或临时目录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原始数据可验证未变化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密钥治理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仓库历史轮换，环境变量/本地私密配置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仓库无有效密钥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UI/日志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默认关键指标，完整日志折叠；历史记录统一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普通训练和调优均可追溯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失败策略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API/Schema/非法参数失败时不启动训练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负向用例全部阻断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A1 任务/版本适配框架（2–4 人日）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定义 TaskAdapter：detect、segment、obb、classify；定义 ModelAdapter：YOLOv8、YOLO11、后续经验证版本、YOLOv5。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适配器统一模型目录、命令构造、指标列映射、评分公式和参数注册表。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先保持 v8 Detect 回归，再接入 v11 Detect；任何新版本先验证权重、CLI、指标列和依赖。</w:t>
      </w:r>
    </w:p>
    <w:p>
      <w:pPr>
        <w:pStyle w:val="Heading2"/>
        <w:keepNext/>
      </w:pPr>
      <w:r>
        <w:t>5.3 A2/A3（2–5 人日，可部分并行）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Linux：环境文件、CUDA/PyTorch 匹配、路径/编码清理、health/readiness、运行环境指纹。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交互：正式流程直接选择受控目录；展示校验进度、失败原因和重新分析；统一训练/分析/调优状态。</w:t>
      </w:r>
    </w:p>
    <w:p>
      <w:r>
        <w:br w:type="page"/>
      </w:r>
    </w:p>
    <w:p>
      <w:pPr>
        <w:pStyle w:val="Heading1"/>
        <w:keepNext/>
      </w:pPr>
      <w:r>
        <w:t>6. 阶段 B：在线多人平台（15–25 人日）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难度判断：高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这不是简单增加登录页。真正难点是训练进程与 Web 解耦、GPU 资源不重复分配、服务重启后的任务对账、数据权限隔离以及事件可恢复。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1300"/>
        <w:gridCol w:w="3660"/>
        <w:gridCol w:w="280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工作包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工作量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主要交付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主要难点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B1 数据库/仓储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3–5 人日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用户、数据集、快照、任务、事件、报告、产物、GPU 租约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迁移、幂等、索引、备份恢复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B2 认证与隔离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3–5 人日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登录、角色、owner/role 校验、配额、产物生命周期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越权、路径穿越、跨用户访问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B3 Worker/GPU 调度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5–8 人日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状态机、原子租约、取消、超时、重试、恢复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并发竞争、孤儿进程、Checkpoint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B4 SSE/历史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2–4 人日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事件游标、重放、日志分页、任务对比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断线恢复、事件顺序、一致性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B5 部署运维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2–3 人日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HTTPS、健康检查、监控、结构化日志、容量预警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环境一致性、故障定位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必须实现的任务状态机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queued → preparing → running → analyzing → completed / failed / cancelled。状态改变必须持久化并产生带递增游标的事件；服务重启后需对账数据库、PID、Checkpoint 与 GPU 租约。</w:t>
      </w:r>
    </w:p>
    <w:p>
      <w:pPr>
        <w:pStyle w:val="Heading2"/>
        <w:keepNext/>
      </w:pPr>
      <w:r>
        <w:t>6.2 阶段 B 验收门槛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多用户资源隔离测试全部通过，任何 API 均执行 owner/role 校验。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GPU 同时分配冲突数为 0；取消、超时和失败重试不会遗留孤儿进程。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服务重启后任务状态可对账，SSE 可从最后游标恢复。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任一模型产物可追溯到数据快照、参数、代码/依赖版本和实验记录。</w:t>
      </w:r>
    </w:p>
    <w:p>
      <w:r>
        <w:br w:type="page"/>
      </w:r>
    </w:p>
    <w:p>
      <w:pPr>
        <w:pStyle w:val="Heading1"/>
        <w:keepNext/>
      </w:pPr>
      <w:r>
        <w:t>7. 阶段 C1：任务类型与旧版本扩展（8–15 人日）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1000"/>
        <w:gridCol w:w="1500"/>
        <w:gridCol w:w="526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扩展项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难度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建议工作量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关键改造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YOLO11 Detect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1–2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版本适配、权重/指标回归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分割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2–4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多边形标签、mask/box 指标、独立评分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OBB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2–3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旋转框几何、角度/方向统计、可视化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分类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3–5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目录布局、top1/top5、评分与诊断重写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YOLOv5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中高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2–3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独立命令适配、结果列/loss 映射、依赖边界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推荐业务优先级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建议默认顺序：YOLO11 Detect → 分割 → OBB → 分类 / YOLOv5。最终顺序应由真实数据和客户需求决定；YOLOv5 仅在遗留模型必须继续训练时接入。</w:t>
      </w:r>
    </w:p>
    <w:p>
      <w:pPr>
        <w:pStyle w:val="Heading2"/>
        <w:keepNext/>
      </w:pPr>
      <w:r>
        <w:t>7.2 设计约束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不同任务必须拥有独立的数据验证、指标映射和评分公式，不能复用 Detect 的错误类型。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每接入一个任务，先构建最小真实数据集回归，再开放 UI 入口。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新 YOLO 版本不是增加下拉选项；必须验证当前 Ultralytics 包、模型名、权重格式和 results.csv。</w:t>
      </w:r>
    </w:p>
    <w:p>
      <w:r>
        <w:br w:type="page"/>
      </w:r>
    </w:p>
    <w:p>
      <w:pPr>
        <w:pStyle w:val="Heading1"/>
        <w:keepNext/>
      </w:pPr>
      <w:r>
        <w:t>8. 阶段 C2：模型结构解析与受控结构自调整（12–20 人日）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产品评价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两个功能应一起做，但内部必须拆成“可信结构事实”和“受控结构决策”两层。结构解析本身有独立价值；结构自调整只有在解析、注册表、资源预检和消融记录完整时才可信。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50"/>
        <w:gridCol w:w="1250"/>
        <w:gridCol w:w="5260"/>
        <w:gridCol w:w="1100"/>
      </w:tblGrid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子模块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工作量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交付内容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难度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C2.1 结构解析器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3–5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Backbone/Neck/Head、连接、通道、stride、参数量、FLOPs、显存估计、权重匹配率、结构指纹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C2.2 模块注册表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2–4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测试过的 Attention/Neck/Conv/Loss；输入输出、任务/版本、资源成本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C2.3 变体生成器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3–5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合法模板、张量/兼容性/资源预检、baseline/单变量/小组合、失败回退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很高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C2.4 结构 Agent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2–3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独立动作空间、资源预算、单维度优先、人工审批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很高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C2.5 实验 UI/审计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2–3 人日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结构图、变体差异、消融对比、审批和最佳模型保护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为什么技术难度高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结构合法不等于可训练：通道、尺度、张量形状、预训练权重兼容和显存都可能失败。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Ultralytics 内部模块与版本耦合，升级可能改变解析方式、注册入口和权重加载行为。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单次指标提升不能证明结构收益，需要 baseline、消融和重复实验控制随机性。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自由生成结构的搜索空间过大且不可审计，必须限定为注册模块和模板动作。</w:t>
      </w:r>
    </w:p>
    <w:p>
      <w:pPr>
        <w:pStyle w:val="Heading2"/>
        <w:keepNext/>
      </w:pPr>
      <w:r>
        <w:t>8.2 验收门槛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每个结构变体必须可解释、可复现、可回退；训练前通过兼容性和资源预检；实验记录具备 baseline 与消融证据；结构 Agent 默认不可直接覆盖当前最佳模型。</w:t>
      </w:r>
    </w:p>
    <w:p>
      <w:r>
        <w:br w:type="page"/>
      </w:r>
    </w:p>
    <w:p>
      <w:pPr>
        <w:pStyle w:val="Heading1"/>
        <w:keepNext/>
      </w:pPr>
      <w:r>
        <w:t>9. 阶段 C3：CVAT 解耦集成（8–15 人日）</w:t>
      </w:r>
    </w:p>
    <w:p>
      <w:pPr>
        <w:pStyle w:val="Heading2"/>
        <w:keepNext/>
      </w:pPr>
      <w:r>
        <w:t>9.1 推荐边界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CVAT 负责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Auto-Tune 负责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接口契约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项目、任务、标注、数据版本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数据分析、训练、调优、模型交付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快照 ID、类别映射、来源版本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人工审核与标注流程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训练队列、GPU、Checkpoint、指标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任务状态、日志、指标、产物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自动标注能力调用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注册经审批模型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服务 Token/OAuth、最小权限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关键原则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CVAT 不直接控制训练子进程；Auto-Tune 不直接修改 CVAT 标注。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数据通过固化快照交接，保证训练期间输入不漂移。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训练队列复用阶段 B，不重复建设。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模型回传必须经过审批、版本登记和兼容性检查。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主要风险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CVAT 版本、导出格式、类别映射、Token 权限和自动标注部署方式都可能影响联调周期。建议先以单向导出→训练为最小闭环，再增加模型回传。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技术难度与风险矩阵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700"/>
        <w:gridCol w:w="800"/>
        <w:gridCol w:w="4260"/>
        <w:gridCol w:w="200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概率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影响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应对策略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决策门槛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GPU 并发重复分配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很高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数据库原子租约、心跳、超时回收、冲突测试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B 上线前必须为 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用户数据越权/路径穿越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很高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owner/role 全接口校验、根目录白名单、负向测试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安全测试全通过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训练进程重启失联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高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独立 Worker、PID/Checkpoint 对账、幂等恢复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故障演练通过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LLM 输出污染执行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Schema、白名单、Guardrails 唯一执行值、失败不训练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非法参数进入命令=0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结构变体不可训练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高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模板/注册表、张量和显存预检、失败回退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C2 预检覆盖关键模块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版本升级破坏适配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依赖锁定、适配器契约、真实数据回归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升级前后基线一致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数据集训练中漂移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不可变快照、内容指纹、只读输入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快照审计可复现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CVAT 联调复杂度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中高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API 解耦、最小闭环、契约测试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5"/>
              </w:rPr>
              <w:t>先单向后双向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需要 Leader 提前确认的决策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在线平台目标是内部可用还是生产级 SLA；两者的运维与稳定性投入不同。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优先支持的业务任务类型及真实验收数据集。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GPU 数量、型号、共享策略和训练预算。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结构实验是否允许自动执行，还是默认必须人工审批。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CVAT 首期只做数据导出，还是同时要求模型回传与自动标注。</w:t>
      </w:r>
    </w:p>
    <w:p>
      <w:r>
        <w:br w:type="page"/>
      </w:r>
    </w:p>
    <w:p>
      <w:pPr>
        <w:pStyle w:val="Heading1"/>
        <w:keepNext/>
      </w:pPr>
      <w:r>
        <w:t>11. 人力配置与日历排期</w:t>
      </w:r>
    </w:p>
    <w:p>
      <w:pPr>
        <w:pStyle w:val="Heading2"/>
        <w:keepNext/>
      </w:pPr>
      <w:r>
        <w:t>11.1 推荐角色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4760"/>
        <w:gridCol w:w="270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角色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主要职责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建议投入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技术负责人/架构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阶段门槛、领域接口、风险决策、代码评审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0.2–0.4 FTE 全程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后端/平台工程师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数据库、认证、Worker、GPU 调度、SSE、部署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 FTE，阶段 B 主力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ML/训练工程师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参数注册、任务适配、结构解析/变体、训练验证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 FTE，A/C 主力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前端工程师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目录流程、任务/队列/实验 UI、错误反馈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0.3–0.6 FTE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QA/DevOps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并发、安全、故障恢复、Linux/CUDA 与发布验证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0.3–0.6 FTE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团队规模场景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1500"/>
        <w:gridCol w:w="2960"/>
        <w:gridCol w:w="2800"/>
      </w:tblGrid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团队方案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预计周期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适用场景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主要代价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 名全栈/ML 工程师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10–18 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继续原型和顺序交付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上下文切换大，在线平台和结构平台风险集中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2 名核心工程师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7–12 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推荐最低配置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前端、QA、DevOps 仍需兼职支持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3 名跨职能核心成员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5–9 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希望较快形成内部可用平台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需要技术负责人严格管理接口与并行依赖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B6573"/>
          <w:sz w:val="17"/>
        </w:rPr>
        <w:t>上述周期以 5 个工作日/周估算，并包含约 15%–25% 的联调和风险缓冲。若要求生产级高可用、安全审计或多节点 GPU 调度，应单独追加稳定化周期。</w:t>
      </w:r>
    </w:p>
    <w:p>
      <w:r>
        <w:br w:type="page"/>
      </w:r>
    </w:p>
    <w:p>
      <w:pPr>
        <w:pStyle w:val="Heading1"/>
        <w:keepNext/>
      </w:pPr>
      <w:r>
        <w:t>12. 建议里程碑与评审点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50"/>
        <w:gridCol w:w="1900"/>
        <w:gridCol w:w="3460"/>
        <w:gridCol w:w="255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里程碑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建议时间点（2 人团队）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交付物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Go/No-Go 条件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M0 可靠闭环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第 1–2 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A0 收尾、审计、快照、安全与回归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参数/命令/指标一致，负向用例阻断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M1 扩展底座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第 2–3 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A1/A2/A3；v8 回归、v11 最小接入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Linux 冒烟、目录边界、适配契约通过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M2 在线内部版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第 4–7 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B：认证、隔离、队列、GPU、SSE、历史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并发/越权/重启恢复演练通过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M3 多任务增量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第 6–9 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C1 按业务优先级逐项交付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每个任务真实数据集验收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M4 结构实验一期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第 8–12 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C2：解析、注册、变体、Agent、消融 UI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可解释、可复现、可回退、有消融证据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M5 CVAT 闭环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第 10–12 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C3：快照导出、状态/产物、模型回传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契约测试、权限与版本追踪通过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排期说明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M3、M4、M5 可在 B 的稳定接口完成后部分并行，因此时间点不是简单相加。若只有 1 人，按阶段串行执行；若 3 人，可让平台、ML 和 UI/集成并行，但不能跳过 Go/No-Go 门槛。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13. 测试、质量与验收策略</w:t>
      </w:r>
    </w:p>
    <w:p>
      <w:pPr>
        <w:pStyle w:val="Heading2"/>
        <w:keepNext/>
      </w:pPr>
      <w:r>
        <w:t>13.1 分层测试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4160"/>
        <w:gridCol w:w="360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层级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重点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最小要求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单元测试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参数类型/范围、规则诊断、状态机、适配映射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关键分支和负向用例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契约测试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Repository、TaskAdapter、ModelAdapter、CVAT API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接口升级不破坏领域层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集成测试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Worker+DB+GPU 租约、SSE 游标、取消/重试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并发和恢复场景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安全测试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越权、路径穿越、注入、上传/目录边界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高风险用例全部阻断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真实训练冒烟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最小真实数据、epochs=1、结果解析与审计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每个任务/版本一条基线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消融/质量评估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baseline vs 变体、重复实验、资源成本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C2 收益必须有证据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总体验收指标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参数审计一致率 100%；非法 LLM 参数进入训练命令数量为 0。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普通训练与调优任务均可追溯；产物可定位到数据快照、参数、代码和依赖版本。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多用户越权测试全部阻止；GPU 分配冲突数量为 0。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服务重启后任务状态可对账，历史事件可重放。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结构实验必须拥有 baseline 和消融证据。</w:t>
      </w:r>
    </w:p>
    <w:p>
      <w:r>
        <w:br w:type="page"/>
      </w:r>
    </w:p>
    <w:p>
      <w:pPr>
        <w:pStyle w:val="Heading1"/>
        <w:keepNext/>
      </w:pPr>
      <w:r>
        <w:t>14. 建议的审批结论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建议批准：分阶段实施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建议 Leader 批准以 2 名核心工程师为最低配置，先完成 M0/M1，再根据在线内部版的稳定性决定 C1/C2/C3 的并行程度。结构能力应立项，但不能提前绕过在线执行与实验审计底座。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本次需要批准的事项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确认一期边界：LLM 只修改白名单超参数；不在当前一期自动改模型结构。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 A0 收尾与 A1/A2/A3 为下一批正式工作。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确认在线内部可用版按 15–25 人日评估，而不是原先偏乐观的简单 Web 改造口径。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确认结构解析与结构自调整后续同一期交付，预算 12–20 人日，并启用人工审批和消融验收。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确认 CVAT 采用 API 解耦路线，首期优先完成单向数据快照交接。</w:t>
      </w:r>
    </w:p>
    <w:p>
      <w:pPr>
        <w:pStyle w:val="Heading2"/>
        <w:keepNext/>
      </w:pPr>
      <w:r>
        <w:t>14.2 下一步（批准后）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按当前协作方式分批实施：每批先更新测试，再实现功能，运行相关自动化检查和短 epoch 真实训练；每批结束向项目负责人汇报改动、测试证据、遗留风险和下一批范围。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文档依据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docs/方案审查_20260814.md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docs/后续研发计划_20260814.md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docs/implementation_plan_20260814.md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docs/roadmap_20260814.md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B6573"/>
        <w:sz w:val="17"/>
      </w:rPr>
      <w:t xml:space="preserve">内部资料  ·  2026-08-14  ·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B6573"/>
        <w:sz w:val="17"/>
      </w:rPr>
      <w:t>Auto-Tune｜后续研发路线与实施评估｜内部评审稿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 后续研发路线与实施评估</dc:title>
  <dc:subject>技术难度、资源、工期与分阶段验收</dc:subject>
  <dc:creator>Auto-Tune 项目组</dc:creator>
  <cp:keywords>Auto-Tune, YOLO, LLM, 超参数调优, 模型结构, CVAT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