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695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Páginas Digitalizadas no Período de {{competencia}}.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999999999998" w:type="dxa"/>
        <w:jc w:val="left"/>
        <w:tblInd w:w="-904.0" w:type="dxa"/>
        <w:tblLayout w:type="fixed"/>
        <w:tblLook w:val="0400"/>
      </w:tblPr>
      <w:tblGrid>
        <w:gridCol w:w="5703"/>
        <w:gridCol w:w="4594"/>
        <w:tblGridChange w:id="0">
          <w:tblGrid>
            <w:gridCol w:w="5703"/>
            <w:gridCol w:w="4594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SECRETARIA DE GESTÃO, ORÇAMENTO E FINANÇAS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PÁGINAS DIGITALIZADAS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Secretaria de Gestão, Orçamento e Finanças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{{quant}}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{{quant}}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ind w:left="-169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293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ind w:lef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ind w:lef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ind w:left="-1695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ind w:left="-1695" w:firstLine="0"/>
      <w:jc w:val="center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7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120" w:lineRule="auto"/>
      <w:ind w:left="-1695" w:firstLine="0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B9679A"/>
    <w:pPr>
      <w:ind w:left="720"/>
      <w:contextualSpacing w:val="1"/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1unZdqCTnGYWjoBj7R2YmMGjKA==">CgMxLjA4AHIhMWtpRzNCMEpLZmlzY0FEUHVBS01aQXp2Ny01LXpoQ2px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2023-11-07T12:39:00Z</dcterms:created>
  <dc:creator>Usuário do Windows</dc:creator>
</cp:coreProperties>
</file>