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Pr="00ED352A" w:rsidRDefault="00814249">
      <w:pPr>
        <w:rPr>
          <w:rFonts w:asciiTheme="majorHAnsi" w:hAnsiTheme="majorHAnsi" w:cstheme="majorHAnsi"/>
        </w:rPr>
      </w:pPr>
    </w:p>
    <w:p w:rsidR="00D7762E" w:rsidRPr="00ED352A" w:rsidRDefault="00ED352A" w:rsidP="00ED352A">
      <w:pPr>
        <w:pStyle w:val="Untertitel"/>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Pr="00ED352A">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bookmarkStart w:id="0" w:name="_GoBack"/>
      <w:bookmarkEnd w:id="0"/>
    </w:p>
    <w:p w:rsidR="00ED352A" w:rsidRPr="00ED352A" w:rsidRDefault="00ED352A">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Data </w:t>
      </w:r>
      <w:proofErr w:type="spellStart"/>
      <w:r w:rsidRPr="00ED352A">
        <w:rPr>
          <w:rFonts w:asciiTheme="majorHAnsi" w:hAnsiTheme="majorHAnsi" w:cstheme="majorHAnsi"/>
          <w:lang w:val="de-AT"/>
        </w:rPr>
        <w:t>Parallelism</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t>Einführung (was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1" w:name="buffering-blocks"/>
      <w:bookmarkStart w:id="2" w:name="Pufferbl-cke"/>
      <w:bookmarkEnd w:id="1"/>
      <w:bookmarkEnd w:id="2"/>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lastRenderedPageBreak/>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lang w:val="de-DE"/>
        </w:rPr>
        <w:id w:val="1802269882"/>
        <w:docPartObj>
          <w:docPartGallery w:val="Bibliographies"/>
          <w:docPartUnique/>
        </w:docPartObj>
      </w:sdtPr>
      <w:sdtEndPr>
        <w:rPr>
          <w:rFonts w:ascii="Times New Roman" w:eastAsia="Andale Sans UI" w:hAnsi="Times New Roman" w:cs="Tahoma"/>
          <w:color w:val="auto"/>
          <w:sz w:val="24"/>
          <w:szCs w:val="24"/>
          <w:lang w:val="en-US"/>
        </w:rPr>
      </w:sdtEndPr>
      <w:sdtContent>
        <w:p w:rsidR="00ED352A" w:rsidRDefault="00ED352A">
          <w:pPr>
            <w:pStyle w:val="berschrift1"/>
          </w:pPr>
          <w:r>
            <w:rPr>
              <w:lang w:val="de-DE"/>
            </w:rPr>
            <w:t>Literaturverzeichnis</w:t>
          </w:r>
        </w:p>
        <w:sdt>
          <w:sdtPr>
            <w:id w:val="111145805"/>
            <w:bibliography/>
          </w:sdtPr>
          <w:sdtContent>
            <w:p w:rsidR="00ED352A"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ED352A">
                <w:trPr>
                  <w:divId w:val="1305741217"/>
                  <w:tblCellSpacing w:w="15" w:type="dxa"/>
                </w:trPr>
                <w:tc>
                  <w:tcPr>
                    <w:tcW w:w="50" w:type="pct"/>
                    <w:hideMark/>
                  </w:tcPr>
                  <w:p w:rsidR="00ED352A" w:rsidRDefault="00ED352A">
                    <w:pPr>
                      <w:pStyle w:val="Literaturverzeichnis"/>
                      <w:rPr>
                        <w:noProof/>
                        <w:lang w:val="de-DE"/>
                      </w:rPr>
                    </w:pPr>
                    <w:r>
                      <w:rPr>
                        <w:noProof/>
                        <w:lang w:val="de-DE"/>
                      </w:rPr>
                      <w:t xml:space="preserve">[1] </w:t>
                    </w:r>
                  </w:p>
                </w:tc>
                <w:tc>
                  <w:tcPr>
                    <w:tcW w:w="0" w:type="auto"/>
                    <w:hideMark/>
                  </w:tcPr>
                  <w:p w:rsidR="00ED352A" w:rsidRPr="00ED352A" w:rsidRDefault="00ED352A">
                    <w:pPr>
                      <w:pStyle w:val="Literaturverzeichnis"/>
                      <w:rPr>
                        <w:noProof/>
                      </w:rPr>
                    </w:pPr>
                    <w:r w:rsidRPr="00ED352A">
                      <w:rPr>
                        <w:noProof/>
                      </w:rPr>
                      <w:t xml:space="preserve">A. Kühnel, Visual C# 2010, Bonn: Galileo Computing, 2010. </w:t>
                    </w:r>
                  </w:p>
                </w:tc>
              </w:tr>
            </w:tbl>
            <w:p w:rsidR="00ED352A" w:rsidRDefault="00ED352A">
              <w:pPr>
                <w:divId w:val="1305741217"/>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762E"/>
    <w:rsid w:val="00814249"/>
    <w:rsid w:val="00A0550D"/>
    <w:rsid w:val="00D7762E"/>
    <w:rsid w:val="00E80670"/>
    <w:rsid w:val="00ED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14"/>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s>
</file>

<file path=customXml/itemProps1.xml><?xml version="1.0" encoding="utf-8"?>
<ds:datastoreItem xmlns:ds="http://schemas.openxmlformats.org/officeDocument/2006/customXml" ds:itemID="{28A07AF7-08A0-496F-80CB-82C7820C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2336</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Friedl</cp:lastModifiedBy>
  <cp:revision>15</cp:revision>
  <dcterms:created xsi:type="dcterms:W3CDTF">2009-04-16T11:32:00Z</dcterms:created>
  <dcterms:modified xsi:type="dcterms:W3CDTF">2017-11-18T09:22:00Z</dcterms:modified>
  <dc:language>de-AT</dc:language>
</cp:coreProperties>
</file>