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Gerar Relatório de Estoque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Gerar Relatório de Estoque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J. D. Oliveira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Gerar Relatório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gerar relatórios de estoque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E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Estoquista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Gerar Relatório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</w:rPr>
      </w:pPr>
      <w:bookmarkStart w:colFirst="0" w:colLast="0" w:name="_d964n68jumag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na ação Gerar Relatório de Estoque.</w:t>
        <w:br w:type="textWrapping"/>
        <w:t xml:space="preserve">Este caso de uso inicia após o cliente pressionar o botão “Gerar Relatório de Estoque”.Este relatório irá conter os produtos em estoque, mostrando os mais utilizados, os menos utilizados, os produtos que perderam a validade por desuso.  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</w:rPr>
      </w:pPr>
      <w:bookmarkStart w:colFirst="0" w:colLast="0" w:name="_tqokagukkpfz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Exportar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relatório</w:t>
        <w:br w:type="textWrapping"/>
        <w:t xml:space="preserve">O relatório é mostrado na tela e o administrador ou gestor que poderá visualizar com perspectivas diferentes como mês ou ano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irá escolher se o relatório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deverá ser exportado para Excel ou PDF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finaliza com os resultados do relatório sendo apresentados para o ator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Relatório gerado pelo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431" w:hanging="43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