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Projeto: Fome Zero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Funcionalidade: Selecionar Forma de Pagamento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Caso de Uso: Selecionar Forma de Pagamento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Versão do Documento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4900"/>
        <w:gridCol w:w="2288"/>
        <w:tblGridChange w:id="0">
          <w:tblGrid>
            <w:gridCol w:w="1590"/>
            <w:gridCol w:w="4900"/>
            <w:gridCol w:w="22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14/12/2017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J. D. Oliveira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1A">
      <w:pPr>
        <w:pStyle w:val="Title"/>
        <w:contextualSpacing w:val="0"/>
        <w:jc w:val="center"/>
        <w:rPr>
          <w:color w:val="0000ff"/>
        </w:rPr>
      </w:pPr>
      <w:r w:rsidDel="00000000" w:rsidR="00000000" w:rsidRPr="00000000">
        <w:rPr>
          <w:rtl w:val="0"/>
        </w:rPr>
        <w:t xml:space="preserve">Selecionar Forma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caso de uso descreve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como é feito direcionamento para a forma de pagamento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1E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Caixa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Selecionar a forma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conta deverá ter sido finalizada.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Fluxos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qokagukkpfz" w:id="5"/>
      <w:bookmarkEnd w:id="5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se inicia após a inclusão do caso de uso ”Finalizar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pedido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120" w:line="360" w:lineRule="auto"/>
        <w:ind w:left="709"/>
        <w:rPr>
          <w:rFonts w:ascii="Arial" w:cs="Arial" w:eastAsia="Arial" w:hAnsi="Arial"/>
          <w:sz w:val="20"/>
          <w:szCs w:val="20"/>
        </w:rPr>
      </w:pPr>
      <w:bookmarkStart w:colFirst="0" w:colLast="0" w:name="_tqokagukkpfz" w:id="5"/>
      <w:bookmarkEnd w:id="5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Clicar na ação Selecionar forma de pagamento</w:t>
        <w:br w:type="textWrapping"/>
        <w:t xml:space="preserve">Este caso de uso inicia após o caixa pressionar o botão “Selecionar forma de pagamento”.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120" w:line="360" w:lineRule="auto"/>
        <w:ind w:left="70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Formas de pagamento</w:t>
      </w:r>
    </w:p>
    <w:p w:rsidR="00000000" w:rsidDel="00000000" w:rsidP="00000000" w:rsidRDefault="00000000" w:rsidRPr="00000000" w14:paraId="00000026">
      <w:pPr>
        <w:spacing w:line="360" w:lineRule="auto"/>
        <w:ind w:left="709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Neste momento estarão disponíveis as possibilidades de pagamento com dinheiro em espécie, cartão de crédito e débito e E-wallets.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finaliza exibindo uma mensagem de operação concluída.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Pós-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after="60" w:lineRule="auto"/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spacing w:after="60" w:lineRule="auto"/>
        <w:ind w:left="432" w:hanging="432"/>
        <w:contextualSpacing w:val="0"/>
        <w:rPr/>
      </w:pPr>
      <w:bookmarkStart w:colFirst="0" w:colLast="0" w:name="_17dp8vu" w:id="8"/>
      <w:bookmarkEnd w:id="8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431" w:hanging="431"/>
        <w:contextualSpacing w:val="0"/>
        <w:rPr/>
      </w:pPr>
      <w:bookmarkStart w:colFirst="0" w:colLast="0" w:name="_3rdcrjn" w:id="9"/>
      <w:bookmarkEnd w:id="9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7593"/>
        <w:tblGridChange w:id="0">
          <w:tblGrid>
            <w:gridCol w:w="1185"/>
            <w:gridCol w:w="7593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1"/>
        <w:gridCol w:w="1831"/>
        <w:gridCol w:w="3555"/>
        <w:gridCol w:w="1821"/>
        <w:tblGridChange w:id="0">
          <w:tblGrid>
            <w:gridCol w:w="1571"/>
            <w:gridCol w:w="1831"/>
            <w:gridCol w:w="3555"/>
            <w:gridCol w:w="182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7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8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9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A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3486150" cy="1352550"/>
          <wp:effectExtent b="0" l="0" r="0" t="0"/>
          <wp:docPr descr="https://lh4.googleusercontent.com/Ybeem2QB9XPKInPIO8TuswXA_kzRsPoqMO8Va2ocYG5lFcmC7i7GjGoGL-vLvVeBBdufRhF-wEuKQWhNnstyhHxMKRnd41G_3BIakqgJyz7V6cn3Gztdyq44Vxh0yhgoPJoLQa9BDhdGL-vFKQ" id="1" name="image1.png"/>
          <a:graphic>
            <a:graphicData uri="http://schemas.openxmlformats.org/drawingml/2006/picture">
              <pic:pic>
                <pic:nvPicPr>
                  <pic:cNvPr descr="https://lh4.googleusercontent.com/Ybeem2QB9XPKInPIO8TuswXA_kzRsPoqMO8Va2ocYG5lFcmC7i7GjGoGL-vLvVeBBdufRhF-wEuKQWhNnstyhHxMKRnd41G_3BIakqgJyz7V6cn3Gztdyq44Vxh0yhgoPJoLQa9BDhdGL-vFKQ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86150" cy="1352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contextualSpacing w:val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