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000" w:firstRow="0" w:lastRow="0" w:firstColumn="0" w:lastColumn="0" w:noHBand="0" w:noVBand="0"/>
      </w:tblPr>
      <w:tblGrid>
        <w:gridCol w:w="4010"/>
        <w:gridCol w:w="5436"/>
      </w:tblGrid>
      <w:tr w:rsidR="00000000">
        <w:tblPrEx>
          <w:tblCellMar>
            <w:top w:w="0" w:type="dxa"/>
            <w:bottom w:w="0" w:type="dxa"/>
          </w:tblCellMar>
        </w:tblPrEx>
        <w:trPr>
          <w:jc w:val="center"/>
        </w:trPr>
        <w:tc>
          <w:tcPr>
            <w:tcW w:w="4010" w:type="dxa"/>
          </w:tcPr>
          <w:p w:rsidR="00000000" w:rsidRDefault="00752DFD">
            <w:pPr>
              <w:rPr>
                <w:sz w:val="27"/>
              </w:rPr>
            </w:pPr>
            <w:r>
              <w:rPr>
                <w:rFonts w:ascii="Times New Roman" w:hAnsi="Times New Roman" w:eastAsia="Times New Roman" w:cs="Times New Roman"/>
                <w:sz w:val="24"/>
              </w:rPr>
              <w:t>Tổng cục thống kê</w:t>
            </w:r>
            <w:r>
              <w:rPr>
                <w:sz w:val="27"/>
              </w:rPr>
              <w:t xml:space="preserve"> </w:t>
            </w:r>
          </w:p>
          <w:p w:rsidR="00000000" w:rsidRDefault="00752DFD">
            <w:pPr>
              <w:jc w:val="both"/>
              <w:rPr>
                <w:rFonts w:ascii=".VnTimeH" w:hAnsi=".VnTimeH"/>
                <w:sz w:val="24"/>
              </w:rPr>
            </w:pPr>
            <w:r>
              <w:rPr>
                <w:rFonts w:ascii="Times New Roman" w:hAnsi="Times New Roman" w:eastAsia="Times New Roman" w:cs="Times New Roman"/>
                <w:sz w:val="24"/>
              </w:rPr>
              <w:t>Số:  12/tctk-th</w:t>
            </w:r>
          </w:p>
        </w:tc>
        <w:tc>
          <w:tcPr>
            <w:tcW w:w="5436" w:type="dxa"/>
          </w:tcPr>
          <w:p w:rsidR="00000000" w:rsidRDefault="00752DFD">
            <w:pPr>
              <w:jc w:val="center"/>
              <w:rPr>
                <w:rFonts w:ascii=".VnTimeH" w:hAnsi=".VnTimeH"/>
                <w:sz w:val="24"/>
              </w:rPr>
            </w:pPr>
            <w:r>
              <w:rPr>
                <w:rFonts w:ascii="Times New Roman" w:hAnsi="Times New Roman" w:eastAsia="Times New Roman" w:cs="Times New Roman"/>
                <w:sz w:val="24"/>
              </w:rPr>
              <w:t>Cộng hoà xã hội chủ nghĩa Việt Nam</w:t>
            </w:r>
          </w:p>
          <w:p w:rsidR="00000000" w:rsidRDefault="00752DFD">
            <w:pPr>
              <w:jc w:val="center"/>
              <w:rPr>
                <w:sz w:val="28"/>
              </w:rPr>
            </w:pPr>
            <w:r>
              <w:rPr>
                <w:rFonts w:ascii="Times New Roman" w:hAnsi="Times New Roman" w:eastAsia="Times New Roman" w:cs="Times New Roman"/>
                <w:sz w:val="28"/>
              </w:rPr>
              <w:t>Độc lập-Tự do-Hạnh phúc</w:t>
            </w:r>
          </w:p>
          <w:p w:rsidR="00000000" w:rsidRDefault="00752DFD">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rsidR="00000000" w:rsidRDefault="00752DFD">
      <w:pPr>
        <w:spacing w:before="120"/>
        <w:jc w:val="right"/>
        <w:rPr>
          <w:b/>
          <w:i/>
          <w:sz w:val="20"/>
        </w:rPr>
      </w:pPr>
    </w:p>
    <w:p w:rsidR="00000000" w:rsidRDefault="00752DFD">
      <w:pPr>
        <w:jc w:val="right"/>
        <w:rPr>
          <w:b/>
          <w:i/>
          <w:sz w:val="28"/>
        </w:rPr>
      </w:pPr>
      <w:r>
        <w:rPr>
          <w:rFonts w:ascii="Times New Roman" w:hAnsi="Times New Roman" w:eastAsia="Times New Roman" w:cs="Times New Roman"/>
          <w:b/>
          <w:i/>
          <w:sz w:val="28"/>
        </w:rPr>
        <w:t>Hà Nội ngày 25 tháng 5 năm 2001</w:t>
      </w:r>
    </w:p>
    <w:p w:rsidR="00000000" w:rsidRDefault="00752DFD">
      <w:pPr>
        <w:jc w:val="center"/>
        <w:rPr>
          <w:sz w:val="2"/>
        </w:rPr>
      </w:pPr>
    </w:p>
    <w:p w:rsidR="00000000" w:rsidRDefault="00752DFD">
      <w:pPr>
        <w:jc w:val="center"/>
        <w:rPr>
          <w:sz w:val="40"/>
        </w:rPr>
      </w:pPr>
    </w:p>
    <w:p w:rsidR="00000000" w:rsidRDefault="00752DFD">
      <w:pPr>
        <w:jc w:val="center"/>
        <w:rPr>
          <w:rFonts w:ascii=".VnBodoniH" w:hAnsi=".VnBodoniH"/>
          <w:sz w:val="32"/>
        </w:rPr>
      </w:pPr>
      <w:r>
        <w:rPr>
          <w:rFonts w:ascii="Times New Roman" w:hAnsi="Times New Roman" w:eastAsia="Times New Roman" w:cs="Times New Roman"/>
          <w:sz w:val="32"/>
        </w:rPr>
        <w:t>tình hình kinh tế-xã hội</w:t>
      </w:r>
    </w:p>
    <w:p w:rsidR="00000000" w:rsidRDefault="00752DFD">
      <w:pPr>
        <w:jc w:val="center"/>
        <w:rPr>
          <w:rFonts w:ascii=".VnBodoniH" w:hAnsi=".VnBodoniH"/>
          <w:sz w:val="32"/>
        </w:rPr>
      </w:pPr>
      <w:r>
        <w:rPr>
          <w:rFonts w:ascii="Times New Roman" w:hAnsi="Times New Roman" w:eastAsia="Times New Roman" w:cs="Times New Roman"/>
          <w:sz w:val="32"/>
        </w:rPr>
        <w:t>tháng 5 và 5 tháng năm 2001</w:t>
      </w:r>
    </w:p>
    <w:p w:rsidR="00000000" w:rsidRDefault="00752DFD">
      <w:pPr>
        <w:pStyle w:val="BodyTextIndent"/>
        <w:ind w:left="2835" w:firstLine="567"/>
        <w:rPr>
          <w:rFonts w:ascii=".VnTimeH" w:hAnsi=".VnTimeH"/>
          <w:b/>
        </w:rPr>
      </w:pPr>
    </w:p>
    <w:p w:rsidR="00000000" w:rsidRDefault="00752DFD">
      <w:pPr>
        <w:pStyle w:val="BodyText"/>
        <w:ind w:firstLine="567"/>
        <w:rPr>
          <w:sz w:val="10"/>
        </w:rPr>
      </w:pPr>
    </w:p>
    <w:p w:rsidR="00000000" w:rsidRDefault="00752DFD">
      <w:pPr>
        <w:spacing w:before="40" w:after="40" w:line="312" w:lineRule="auto"/>
        <w:ind w:firstLine="567"/>
        <w:jc w:val="both"/>
        <w:rPr>
          <w:rFonts w:ascii=".VnTimeH" w:hAnsi=".VnTimeH"/>
          <w:b/>
        </w:rPr>
      </w:pPr>
      <w:r>
        <w:rPr>
          <w:rFonts w:ascii="Times New Roman" w:hAnsi="Times New Roman" w:eastAsia="Times New Roman" w:cs="Times New Roman"/>
          <w:b/>
        </w:rPr>
        <w:t>I. Sản xuất Nông nghiệp</w:t>
      </w:r>
    </w:p>
    <w:p w:rsidR="00000000" w:rsidRDefault="00752DFD">
      <w:pPr>
        <w:pStyle w:val="BodyTextIndent"/>
        <w:spacing w:before="20" w:line="312" w:lineRule="auto"/>
        <w:ind w:firstLine="567"/>
      </w:pPr>
      <w:r>
        <w:rPr>
          <w:rFonts w:ascii="Times New Roman" w:hAnsi="Times New Roman" w:eastAsia="Times New Roman" w:cs="Times New Roman"/>
        </w:rPr>
        <w:t>Các địa phương phía nam đang khẩn</w:t>
      </w:r>
      <w:r>
        <w:rPr>
          <w:rFonts w:ascii="Times New Roman" w:hAnsi="Times New Roman" w:eastAsia="Times New Roman" w:cs="Times New Roman"/>
        </w:rPr>
        <w:t xml:space="preserve"> trương thu hoạch lúa đông xuân cuối vụ, riêng đồng bằng sông Cửu Long đã cơ bản hoàn thành. Kết quả thu hoạch cho thấy năng suất trà lúa đầu của các địa phương vùng đồng bằng sông Cửu Long tương đối cao, nhưng trà lúa muộn đạt thấp, chủ yếu do gieo cấy tr</w:t>
      </w:r>
      <w:r>
        <w:rPr>
          <w:rFonts w:ascii="Times New Roman" w:hAnsi="Times New Roman" w:eastAsia="Times New Roman" w:cs="Times New Roman"/>
        </w:rPr>
        <w:t>ễ và ở nhiều địa phương lúa bị sâu bệnh nặng. Tính chung năng suất lúa đông xuân vụ này ở đồng bằng sông Cửu Long chỉ đạt khoảng 51 tạ/ha và do vậy sản lượng có khả năng sẽ thấp hơn mức 8,1 triệu tấn dự kiến ban đầu.</w:t>
      </w:r>
    </w:p>
    <w:p w:rsidR="00000000" w:rsidRDefault="00752DFD">
      <w:pPr>
        <w:pStyle w:val="BodyTextIndent"/>
        <w:spacing w:before="20" w:line="312" w:lineRule="auto"/>
        <w:ind w:firstLine="567"/>
      </w:pPr>
      <w:r>
        <w:rPr>
          <w:rFonts w:ascii="Times New Roman" w:hAnsi="Times New Roman" w:eastAsia="Times New Roman" w:cs="Times New Roman"/>
        </w:rPr>
        <w:t>Các địa phương phía bắc đã kết thúc gie</w:t>
      </w:r>
      <w:r>
        <w:rPr>
          <w:rFonts w:ascii="Times New Roman" w:hAnsi="Times New Roman" w:eastAsia="Times New Roman" w:cs="Times New Roman"/>
        </w:rPr>
        <w:t>o cấy lúa đông xuân với tổng diện tích gieo cấy đạt 1172,6 nghìn ha, tăng 10,2 nghìn ha so với vụ đông xuân trước. Đến nay lúa đã trổ xong, một số địa phương đang bắt đầu thu hoạch trà lúa sớm. Theo đánh giá ban đầu, nếu từ nay đến cuối vụ thời tiết tiếp t</w:t>
      </w:r>
      <w:r>
        <w:rPr>
          <w:rFonts w:ascii="Times New Roman" w:hAnsi="Times New Roman" w:eastAsia="Times New Roman" w:cs="Times New Roman"/>
        </w:rPr>
        <w:t>ục diễn biến bình thường thì năng suất bình quân lúa đông xuân của các địa phương phía bắc có thể đạt trên 53 tạ/ha, cao hơn năng suất bình quân của vụ đông xuân trước.</w:t>
      </w:r>
    </w:p>
    <w:p w:rsidR="00000000" w:rsidRDefault="00752DFD">
      <w:pPr>
        <w:pStyle w:val="BodyTextIndent"/>
        <w:spacing w:before="20" w:line="312" w:lineRule="auto"/>
        <w:ind w:firstLine="567"/>
      </w:pPr>
      <w:r>
        <w:rPr>
          <w:rFonts w:ascii="Times New Roman" w:hAnsi="Times New Roman" w:eastAsia="Times New Roman" w:cs="Times New Roman"/>
        </w:rPr>
        <w:t>Cùng với việc thu hoạch lúa đông xuân, đến trung tuần tháng 5 các địa phương phía nam c</w:t>
      </w:r>
      <w:r>
        <w:rPr>
          <w:rFonts w:ascii="Times New Roman" w:hAnsi="Times New Roman" w:eastAsia="Times New Roman" w:cs="Times New Roman"/>
        </w:rPr>
        <w:t>òn gieo cấy được 1240 nghìn ha lúa hè thu, bằng 93,4% so cùng kỳ năm trước, trong đó đồng bằng sông Cửu Long gieo cấy 1105 nghìn ha, bằng 94,1%. Nhìn chung lúa hè thu đang sinh trưởng và phát triển trong điều kiện thời tiết tương đối thuận lợi. Một số tỉnh</w:t>
      </w:r>
      <w:r>
        <w:rPr>
          <w:rFonts w:ascii="Times New Roman" w:hAnsi="Times New Roman" w:eastAsia="Times New Roman" w:cs="Times New Roman"/>
        </w:rPr>
        <w:t xml:space="preserve"> như Sóc Trăng, Tiền Giang, Cần Thơ, Vĩnh Long đã bắt đầu thu hoạch trà lúa hè thu sớm.</w:t>
      </w:r>
    </w:p>
    <w:p w:rsidR="00000000" w:rsidRDefault="00752DFD">
      <w:pPr>
        <w:spacing w:before="20" w:after="40" w:line="312" w:lineRule="auto"/>
        <w:ind w:firstLine="567"/>
        <w:jc w:val="both"/>
        <w:rPr>
          <w:rFonts w:ascii=".VnTimeH" w:hAnsi=".VnTimeH"/>
          <w:b/>
        </w:rPr>
      </w:pPr>
      <w:r>
        <w:rPr>
          <w:rFonts w:ascii="Times New Roman" w:hAnsi="Times New Roman" w:eastAsia="Times New Roman" w:cs="Times New Roman"/>
          <w:sz w:val="28"/>
        </w:rPr>
        <w:t>Gieo trồng cây công nghiệp hàng năm nhanh hơn cùng kỳ năm trước. Đến 15/5, gieo trồng lạc đã đạt 167,5 nghìn ha, tăng 1,1%; đậu tương 55,1 nghìn ha, tăng 20,3%; thuốc l</w:t>
      </w:r>
      <w:r>
        <w:rPr>
          <w:rFonts w:ascii="Times New Roman" w:hAnsi="Times New Roman" w:eastAsia="Times New Roman" w:cs="Times New Roman"/>
          <w:sz w:val="28"/>
        </w:rPr>
        <w:t xml:space="preserve">á 22,7 nghìn ha, tăng 20,1%; mía 21,3 nghìn ha, tăng 52,1%. </w:t>
      </w:r>
      <w:r>
        <w:rPr>
          <w:rFonts w:ascii="Times New Roman" w:hAnsi="Times New Roman" w:eastAsia="Times New Roman" w:cs="Times New Roman"/>
          <w:sz w:val="28"/>
        </w:rPr>
        <w:t>Gieo trồng ngô vụ đông  mới đạt 443,6 nghìn ha, bằng 93,4% cùng kỳ năm trước. Gieo trồng khoai lang cũng chỉ đạt 191,8 nghìn ha, bằng 97,1%.</w:t>
      </w:r>
    </w:p>
    <w:p w:rsidR="00000000" w:rsidRDefault="00752DFD">
      <w:pPr>
        <w:spacing w:before="40" w:after="40" w:line="312" w:lineRule="auto"/>
        <w:ind w:firstLine="567"/>
        <w:jc w:val="both"/>
        <w:rPr>
          <w:rFonts w:ascii=".VnTimeH" w:hAnsi=".VnTimeH"/>
          <w:b/>
          <w:sz w:val="28"/>
        </w:rPr>
      </w:pPr>
      <w:r>
        <w:rPr>
          <w:rFonts w:ascii="Times New Roman" w:hAnsi="Times New Roman" w:eastAsia="Times New Roman" w:cs="Times New Roman"/>
          <w:b/>
        </w:rPr>
        <w:t>II. Sản xuất Công nghiệp</w:t>
      </w:r>
    </w:p>
    <w:p w:rsidR="00000000" w:rsidRDefault="00752DFD">
      <w:pPr>
        <w:spacing w:before="40" w:after="40" w:line="324" w:lineRule="auto"/>
        <w:ind w:firstLine="567"/>
        <w:jc w:val="both"/>
        <w:rPr>
          <w:sz w:val="28"/>
        </w:rPr>
      </w:pPr>
      <w:r>
        <w:rPr>
          <w:rFonts w:ascii="Times New Roman" w:hAnsi="Times New Roman" w:eastAsia="Times New Roman" w:cs="Times New Roman"/>
          <w:sz w:val="28"/>
        </w:rPr>
        <w:t>Giá trị sản xuất công nghiệp t</w:t>
      </w:r>
      <w:r>
        <w:rPr>
          <w:rFonts w:ascii="Times New Roman" w:hAnsi="Times New Roman" w:eastAsia="Times New Roman" w:cs="Times New Roman"/>
          <w:sz w:val="28"/>
        </w:rPr>
        <w:t>háng 5 ước tính tăng 12,8 so với cùng kỳ năm trước, trong đó khu vực doanh nghiệp Nhà nước tăng 11,7%; khu vực ngoài quốc doanh tăng 16,5%; khu vực có vốn đầu tư trực tiếp của nước ngoài tăng 11,9%. Nếu so với các tháng trước thì sản xuất công nghiệp tháng</w:t>
      </w:r>
      <w:r>
        <w:rPr>
          <w:rFonts w:ascii="Times New Roman" w:hAnsi="Times New Roman" w:eastAsia="Times New Roman" w:cs="Times New Roman"/>
          <w:sz w:val="28"/>
        </w:rPr>
        <w:t xml:space="preserve"> này đã tăng chậm lại (Tháng 3 tăng 15,2%; tháng 4 tăng 14%).</w:t>
      </w:r>
    </w:p>
    <w:p w:rsidR="00000000" w:rsidRDefault="00752DFD">
      <w:pPr>
        <w:spacing w:before="40" w:after="40" w:line="324" w:lineRule="auto"/>
        <w:ind w:firstLine="567"/>
        <w:jc w:val="both"/>
        <w:rPr>
          <w:sz w:val="28"/>
        </w:rPr>
      </w:pPr>
      <w:r>
        <w:rPr>
          <w:rFonts w:ascii="Times New Roman" w:hAnsi="Times New Roman" w:eastAsia="Times New Roman" w:cs="Times New Roman"/>
          <w:sz w:val="28"/>
        </w:rPr>
        <w:t xml:space="preserve">Sản xuất công nghiệp tháng này tăng trưởng không cao, trước hết là do sự cố cháy nổ tàu chở dầu Ba Vì nên một số ngày trong tháng đã phải hạn chế việc khai thác dầu thô; mặt khác, xuất khẩu một </w:t>
      </w:r>
      <w:r>
        <w:rPr>
          <w:rFonts w:ascii="Times New Roman" w:hAnsi="Times New Roman" w:eastAsia="Times New Roman" w:cs="Times New Roman"/>
          <w:sz w:val="28"/>
        </w:rPr>
        <w:t>số mặt hàng công nghiệp như giày dép, hàng thủ công mỹ nghệ, đồ điện tử và máy tính bị giảm sút do thiếu thị trường tiêu thụ. Ngoài ra, việc sản xuất và tiêu thụ một số sản phẩm khác trên thị trường trong nước cũng gặp khó khăn nên mức tăng trưởng tháng nà</w:t>
      </w:r>
      <w:r>
        <w:rPr>
          <w:rFonts w:ascii="Times New Roman" w:hAnsi="Times New Roman" w:eastAsia="Times New Roman" w:cs="Times New Roman"/>
          <w:sz w:val="28"/>
        </w:rPr>
        <w:t>y đạt thấp, thậm chí còn giảm sút so với tháng 5/2000 như: Sản xuất sữa hộp chỉ tăng 4,5%; bia tăng 3,7%; quần áo dệt kim tăng 3,8%; động cơ điện giảm 4,2%; máy công cụ giảm 36,8%; đường mật giảm 46,3%.</w:t>
      </w:r>
    </w:p>
    <w:p w:rsidR="00000000" w:rsidRDefault="00752DFD">
      <w:pPr>
        <w:spacing w:before="40" w:after="40" w:line="324" w:lineRule="auto"/>
        <w:ind w:firstLine="567"/>
        <w:jc w:val="both"/>
        <w:rPr>
          <w:sz w:val="28"/>
        </w:rPr>
      </w:pPr>
      <w:r>
        <w:rPr>
          <w:rFonts w:ascii="Times New Roman" w:hAnsi="Times New Roman" w:eastAsia="Times New Roman" w:cs="Times New Roman"/>
          <w:sz w:val="28"/>
        </w:rPr>
        <w:t>Tuy nhiên, trong tháng 5 sản xuất của một số ngành cô</w:t>
      </w:r>
      <w:r>
        <w:rPr>
          <w:rFonts w:ascii="Times New Roman" w:hAnsi="Times New Roman" w:eastAsia="Times New Roman" w:cs="Times New Roman"/>
          <w:sz w:val="28"/>
        </w:rPr>
        <w:t>ng nghiệp vẫn duy trì được tốc độ tăng trưởng tương đối cao so với tháng 5/2000 như: Điện tăng 17,2%; thép cán tăng 26,7%; xi măng tăng 18,2%; giấy bìa tăng 17,4%; vải lụa tăng 14%; quần áo may sẵn tăng 19,6%; xà phòng và bột giặt tăng 18,4%; quạt điện dân</w:t>
      </w:r>
      <w:r>
        <w:rPr>
          <w:rFonts w:ascii="Times New Roman" w:hAnsi="Times New Roman" w:eastAsia="Times New Roman" w:cs="Times New Roman"/>
          <w:sz w:val="28"/>
        </w:rPr>
        <w:t xml:space="preserve"> dụng tăng 16,2%; lắp ráp ô tô tăng 29,3%; xe đạp gấp 9,1 lần.</w:t>
      </w:r>
    </w:p>
    <w:p w:rsidR="00000000" w:rsidRDefault="00752DFD">
      <w:pPr>
        <w:spacing w:before="40" w:after="40" w:line="324" w:lineRule="auto"/>
        <w:ind w:firstLine="567"/>
        <w:jc w:val="both"/>
        <w:rPr>
          <w:sz w:val="28"/>
        </w:rPr>
      </w:pPr>
      <w:r>
        <w:rPr>
          <w:rFonts w:ascii="Times New Roman" w:hAnsi="Times New Roman" w:eastAsia="Times New Roman" w:cs="Times New Roman"/>
          <w:sz w:val="28"/>
        </w:rPr>
        <w:t xml:space="preserve">Do tháng 5 tăng trưởng chậm lại nên tính chung 5 tháng đầu năm sản xuất công nghiệp chỉ tăng 14% so với 5 tháng đầu năm 2000, trong đó khu vực doanh nghiệp Nhà nước tăng 10,7% (Trung ương quản </w:t>
      </w:r>
      <w:r>
        <w:rPr>
          <w:rFonts w:ascii="Times New Roman" w:hAnsi="Times New Roman" w:eastAsia="Times New Roman" w:cs="Times New Roman"/>
          <w:sz w:val="28"/>
        </w:rPr>
        <w:t>lý tăng 11,8%; địa phương quản lý tăng 8,5%); khu vực ngoài quốc doanh tăng 17%; khu vực có vốn đầu tư trực tiếp của nước ngoài tăng 15,9% (Dầu mỏ và khí đốt tăng 21,4%; các doanh nghiệp khác tăng 13,6%).</w:t>
      </w:r>
    </w:p>
    <w:p w:rsidR="00000000" w:rsidRDefault="00752DFD">
      <w:pPr>
        <w:spacing w:before="40" w:after="40" w:line="324" w:lineRule="auto"/>
        <w:ind w:firstLine="567"/>
        <w:jc w:val="both"/>
        <w:rPr>
          <w:sz w:val="28"/>
        </w:rPr>
      </w:pPr>
      <w:r>
        <w:rPr>
          <w:rFonts w:ascii="Times New Roman" w:hAnsi="Times New Roman" w:eastAsia="Times New Roman" w:cs="Times New Roman"/>
          <w:sz w:val="28"/>
        </w:rPr>
        <w:t>Tình hình sản xuất công nghiệp tháng 5 cho thấy, vi</w:t>
      </w:r>
      <w:r>
        <w:rPr>
          <w:rFonts w:ascii="Times New Roman" w:hAnsi="Times New Roman" w:eastAsia="Times New Roman" w:cs="Times New Roman"/>
          <w:sz w:val="28"/>
        </w:rPr>
        <w:t xml:space="preserve">ệc sản xuất và tiêu thụ sản phẩm công nghiệp đang phát sinh thêm nhiều khó khăn, nhất là khó khăn về thị trường xuất khẩu. Nếu các cấp, các ngành và các doanh nghiệp </w:t>
      </w:r>
      <w:r>
        <w:rPr>
          <w:rFonts w:ascii="Times New Roman" w:hAnsi="Times New Roman" w:eastAsia="Times New Roman" w:cs="Times New Roman"/>
          <w:sz w:val="28"/>
        </w:rPr>
        <w:t>không có các biện pháp đồng bộ và  hiệu quả kịp thời xử lý những khó khăn này thì tốc độ t</w:t>
      </w:r>
      <w:r>
        <w:rPr>
          <w:rFonts w:ascii="Times New Roman" w:hAnsi="Times New Roman" w:eastAsia="Times New Roman" w:cs="Times New Roman"/>
          <w:sz w:val="28"/>
        </w:rPr>
        <w:t>ăng trưởng sản xuất công nghiệp trong những tháng tới sẽ chậm lại và cả năm khó có thể đạt được tốc độ tăng 14% mà Quốc hội đã thông qua đầu năm.</w:t>
      </w:r>
    </w:p>
    <w:p w:rsidR="00000000" w:rsidRDefault="00752DFD">
      <w:pPr>
        <w:spacing w:before="40" w:after="40" w:line="312" w:lineRule="auto"/>
        <w:ind w:firstLine="567"/>
        <w:jc w:val="both"/>
        <w:rPr>
          <w:rFonts w:ascii=".VnTimeH" w:hAnsi=".VnTimeH"/>
          <w:b/>
          <w:sz w:val="28"/>
        </w:rPr>
      </w:pPr>
      <w:r>
        <w:rPr>
          <w:rFonts w:ascii="Times New Roman" w:hAnsi="Times New Roman" w:eastAsia="Times New Roman" w:cs="Times New Roman"/>
          <w:b/>
        </w:rPr>
        <w:t>III. Đầu tư và Xây dựng</w:t>
      </w:r>
    </w:p>
    <w:p w:rsidR="00000000" w:rsidRDefault="00752DFD">
      <w:pPr>
        <w:spacing w:before="40" w:after="40" w:line="312" w:lineRule="auto"/>
        <w:ind w:firstLine="567"/>
        <w:jc w:val="both"/>
        <w:rPr>
          <w:sz w:val="28"/>
        </w:rPr>
      </w:pPr>
      <w:r>
        <w:rPr>
          <w:rFonts w:ascii="Times New Roman" w:hAnsi="Times New Roman" w:eastAsia="Times New Roman" w:cs="Times New Roman"/>
          <w:sz w:val="28"/>
        </w:rPr>
        <w:t>Vốn đầu tư XDCB thuộc nguồn vốn ngân sách Nhà nước tập trung 5 tháng đầu  năm 2001 ước</w:t>
      </w:r>
      <w:r>
        <w:rPr>
          <w:rFonts w:ascii="Times New Roman" w:hAnsi="Times New Roman" w:eastAsia="Times New Roman" w:cs="Times New Roman"/>
          <w:sz w:val="28"/>
        </w:rPr>
        <w:t xml:space="preserve"> tính thực hiện được 7194,7 tỷ đồng, tăng 39,7% so với cùng kỳ năm trước và đạt 35,1% kế hoạch năm, trong đó vốn trung ương quản lý thực hiện 5015,9 tỷ đồng đạt 37,2%; vốn địa phương quản lý 2178,8 tỷ đồng, đạt 31%.</w:t>
      </w:r>
    </w:p>
    <w:p w:rsidR="00000000" w:rsidRDefault="00752DFD">
      <w:pPr>
        <w:spacing w:before="40" w:after="40" w:line="312" w:lineRule="auto"/>
        <w:ind w:firstLine="567"/>
        <w:jc w:val="both"/>
        <w:rPr>
          <w:spacing w:val="-2"/>
          <w:sz w:val="28"/>
        </w:rPr>
      </w:pPr>
      <w:r>
        <w:rPr>
          <w:rFonts w:ascii="Times New Roman" w:hAnsi="Times New Roman" w:eastAsia="Times New Roman" w:cs="Times New Roman"/>
          <w:spacing w:val="-2"/>
          <w:sz w:val="28"/>
        </w:rPr>
        <w:t>Từ đầu năm đến nay nhiều công trình đã h</w:t>
      </w:r>
      <w:r>
        <w:rPr>
          <w:rFonts w:ascii="Times New Roman" w:hAnsi="Times New Roman" w:eastAsia="Times New Roman" w:cs="Times New Roman"/>
          <w:spacing w:val="-2"/>
          <w:sz w:val="28"/>
        </w:rPr>
        <w:t xml:space="preserve">oàn thành đưa vào sử dụng như: </w:t>
      </w:r>
      <w:r>
        <w:rPr>
          <w:rFonts w:ascii="Times New Roman" w:hAnsi="Times New Roman" w:eastAsia="Times New Roman" w:cs="Times New Roman"/>
          <w:spacing w:val="4"/>
          <w:sz w:val="28"/>
        </w:rPr>
        <w:t>Thông xe kỹ thuật toàn bộ tuyến đường bộ Hà Nội-Lạng Sơn và đoạn Thường Tín-</w:t>
      </w:r>
      <w:r>
        <w:rPr>
          <w:rFonts w:ascii="Times New Roman" w:hAnsi="Times New Roman" w:eastAsia="Times New Roman" w:cs="Times New Roman"/>
          <w:spacing w:val="-2"/>
          <w:sz w:val="28"/>
        </w:rPr>
        <w:t>Cầu Giẽ; hoàn thành nút giao thông phía nam cầu Chương Dương; cầu cảng Cần Thơ 10 vạn tấn và các cầu Sôn</w:t>
      </w:r>
      <w:r>
        <w:rPr>
          <w:rFonts w:ascii="Times New Roman" w:hAnsi="Times New Roman" w:eastAsia="Times New Roman" w:cs="Times New Roman"/>
          <w:spacing w:val="-4"/>
          <w:sz w:val="28"/>
        </w:rPr>
        <w:t>g Phan, Phú Quới, Lộc Hà, Ngân Sơn, Sa Đéc; h</w:t>
      </w:r>
      <w:r>
        <w:rPr>
          <w:rFonts w:ascii="Times New Roman" w:hAnsi="Times New Roman" w:eastAsia="Times New Roman" w:cs="Times New Roman"/>
          <w:spacing w:val="-4"/>
          <w:sz w:val="28"/>
        </w:rPr>
        <w:t>oàn thành và hoà vào mạng lưới điện quốc gia 6 tổ máy của các nhà máy thuỷ điện Yaly, thuỷ điện Hàm Thuận, thuỷ điện Đa Mi và nhiệt điện Phú Mỹ với tổng công suất 1375 MW. Ngoài ra, còn đắp được 2,1 triệu m</w:t>
      </w:r>
      <w:r>
        <w:rPr>
          <w:spacing w:val="-4"/>
          <w:sz w:val="28"/>
          <w:vertAlign w:val="superscript"/>
        </w:rPr>
        <w:t>3</w:t>
      </w:r>
      <w:r>
        <w:rPr>
          <w:rFonts w:ascii="Times New Roman" w:hAnsi="Times New Roman" w:eastAsia="Times New Roman" w:cs="Times New Roman"/>
          <w:spacing w:val="-4"/>
          <w:sz w:val="28"/>
        </w:rPr>
        <w:t xml:space="preserve"> đê, đạt 90% kế hoạch năm; trồng 12,6 vạn ha rừng</w:t>
      </w:r>
      <w:r>
        <w:rPr>
          <w:rFonts w:ascii="Times New Roman" w:hAnsi="Times New Roman" w:eastAsia="Times New Roman" w:cs="Times New Roman"/>
          <w:spacing w:val="-4"/>
          <w:sz w:val="28"/>
        </w:rPr>
        <w:t>, đạt 60% kế hoạch năm, tăng 4% so với cùng kỳ năm trước.</w:t>
      </w:r>
    </w:p>
    <w:p w:rsidR="00000000" w:rsidRDefault="00752DFD">
      <w:pPr>
        <w:spacing w:before="40" w:after="40" w:line="312" w:lineRule="auto"/>
        <w:ind w:firstLine="567"/>
        <w:jc w:val="both"/>
        <w:rPr>
          <w:sz w:val="28"/>
        </w:rPr>
      </w:pPr>
      <w:r>
        <w:rPr>
          <w:rFonts w:ascii="Times New Roman" w:hAnsi="Times New Roman" w:eastAsia="Times New Roman" w:cs="Times New Roman"/>
          <w:sz w:val="28"/>
        </w:rPr>
        <w:t>Về đầu tư trực tiếp nước ngoài, 5 tháng đầu năm đã cấp giấy phép cho 148 dự án với tổng số vốn đăng ký 467,2 triệu USD. So với 5 tháng đầu năm 2000 tăng 19,4% về số dự án và tăn</w:t>
      </w:r>
      <w:r>
        <w:rPr>
          <w:rFonts w:ascii="Times New Roman" w:hAnsi="Times New Roman" w:eastAsia="Times New Roman" w:cs="Times New Roman"/>
          <w:spacing w:val="-2"/>
          <w:sz w:val="28"/>
        </w:rPr>
        <w:t>g 44,2% về số vốn đăn</w:t>
      </w:r>
      <w:r>
        <w:rPr>
          <w:rFonts w:ascii="Times New Roman" w:hAnsi="Times New Roman" w:eastAsia="Times New Roman" w:cs="Times New Roman"/>
          <w:spacing w:val="-2"/>
          <w:sz w:val="28"/>
        </w:rPr>
        <w:t>g ký. Các dự án được cấp giấy phép trong 5 tháng vừa qua tập trung chủ yếu vào ngành công nghiệp với 112 dự án và 395,8 triệu USD, chiếm 75,7% về số dự án và chiếm 84,7% về số vốn đăng ký. Theo địa phương thì các dự án được cấp giấy phép đầu tư tập trung c</w:t>
      </w:r>
      <w:r>
        <w:rPr>
          <w:rFonts w:ascii="Times New Roman" w:hAnsi="Times New Roman" w:eastAsia="Times New Roman" w:cs="Times New Roman"/>
          <w:spacing w:val="-2"/>
          <w:sz w:val="28"/>
        </w:rPr>
        <w:t xml:space="preserve">hủ yếu ở  các tỉnh, thành phố vùng Đông Nam Bộ như: Thành phố Hồ Chí Minh 55 dự án với số vốn đăng ký 196,6 triệu USD; Bình Dương 31 dự án với 47,8 triệu USD; Đồng Nai 16 dự án với 71,7 triệu USD. Nếu theo đối tác thì chủ yếu là các nước châu </w:t>
      </w:r>
      <w:r>
        <w:rPr>
          <w:rFonts w:ascii="Times New Roman" w:hAnsi="Times New Roman" w:eastAsia="Times New Roman" w:cs="Times New Roman"/>
          <w:spacing w:val="-2"/>
          <w:sz w:val="28"/>
        </w:rPr>
        <w:t>á,</w:t>
      </w:r>
      <w:r>
        <w:rPr>
          <w:rFonts w:ascii="Times New Roman" w:hAnsi="Times New Roman" w:eastAsia="Times New Roman" w:cs="Times New Roman"/>
          <w:spacing w:val="-2"/>
          <w:sz w:val="28"/>
        </w:rPr>
        <w:t xml:space="preserve"> trong đó Đ</w:t>
      </w:r>
      <w:r>
        <w:rPr>
          <w:rFonts w:ascii="Times New Roman" w:hAnsi="Times New Roman" w:eastAsia="Times New Roman" w:cs="Times New Roman"/>
          <w:spacing w:val="-2"/>
          <w:sz w:val="28"/>
        </w:rPr>
        <w:t>ài Loan 39 dự án với  47,5 triệu USD; Hàn Quốc 21 dự án với 29,8 triệu USD; Trung Quốc 16 dự án và 30,3 triệu USD.</w:t>
      </w:r>
    </w:p>
    <w:p w:rsidR="00000000" w:rsidRDefault="00752DFD">
      <w:pPr>
        <w:spacing w:before="40" w:after="40" w:line="312" w:lineRule="auto"/>
        <w:ind w:firstLine="567"/>
        <w:jc w:val="both"/>
        <w:rPr>
          <w:rFonts w:ascii=".VnTimeH" w:hAnsi=".VnTimeH"/>
          <w:b/>
          <w:sz w:val="28"/>
        </w:rPr>
      </w:pPr>
      <w:r>
        <w:rPr>
          <w:rFonts w:ascii="Times New Roman" w:hAnsi="Times New Roman" w:eastAsia="Times New Roman" w:cs="Times New Roman"/>
          <w:b/>
        </w:rPr>
        <w:t xml:space="preserve">IV. vận tải </w:t>
      </w:r>
    </w:p>
    <w:p w:rsidR="00000000" w:rsidRDefault="00752DFD">
      <w:pPr>
        <w:spacing w:before="40" w:after="40" w:line="312" w:lineRule="auto"/>
        <w:ind w:firstLine="567"/>
        <w:jc w:val="both"/>
        <w:rPr>
          <w:b/>
          <w:sz w:val="28"/>
        </w:rPr>
      </w:pPr>
      <w:r>
        <w:rPr>
          <w:rFonts w:ascii="Times New Roman" w:hAnsi="Times New Roman" w:eastAsia="Times New Roman" w:cs="Times New Roman"/>
          <w:sz w:val="28"/>
        </w:rPr>
        <w:t>Vận chuyển hành khách 5 tháng đầu năm ước tính đạt 357,6 triệu lượt người và 12104,4 triệu lượt người.km. So với cùng kỳ năm trư</w:t>
      </w:r>
      <w:r>
        <w:rPr>
          <w:rFonts w:ascii="Times New Roman" w:hAnsi="Times New Roman" w:eastAsia="Times New Roman" w:cs="Times New Roman"/>
          <w:sz w:val="28"/>
        </w:rPr>
        <w:t xml:space="preserve">ớc tăng 5,1% về khối lượng vận chuyển và tăng 6,8% về khối lượng luân chuyển; Vận chuyển hàng hoá 5 tháng ước tính đạt 57,7 triệu tấn và 13491,3 triệu tấn.km, tăng 5,2% về tấn và tăng 8,5% về tấn.km. Nhìn chung, hoạt động vận tải vẫn giữ được nhịp độ tăng </w:t>
      </w:r>
      <w:r>
        <w:rPr>
          <w:rFonts w:ascii="Times New Roman" w:hAnsi="Times New Roman" w:eastAsia="Times New Roman" w:cs="Times New Roman"/>
          <w:sz w:val="28"/>
        </w:rPr>
        <w:t>trưởng ổn định, đảm bảo được nhu cầu của sản xuất và đi lại của dân cư. Tuy nhiên, tình trạng ùn tắc giao thông tại các thành phố lớn và tai nạn giao thông vẫn tiếp tục gia tăng và đang là một trong những tồn tại lớn cần sớm được khắc phục.</w:t>
      </w:r>
    </w:p>
    <w:p w:rsidR="00000000" w:rsidRDefault="00752DFD">
      <w:pPr>
        <w:spacing w:before="20" w:after="20" w:line="276" w:lineRule="auto"/>
        <w:ind w:firstLine="567"/>
        <w:jc w:val="both"/>
        <w:rPr>
          <w:rFonts w:ascii=".VnTimeH" w:hAnsi=".VnTimeH"/>
          <w:b/>
          <w:sz w:val="28"/>
        </w:rPr>
      </w:pPr>
      <w:r>
        <w:rPr>
          <w:sz w:val="28"/>
        </w:rPr>
        <w:t xml:space="preserve"> </w:t>
      </w:r>
      <w:r>
        <w:rPr>
          <w:rFonts w:ascii="Times New Roman" w:hAnsi="Times New Roman" w:eastAsia="Times New Roman" w:cs="Times New Roman"/>
          <w:b/>
        </w:rPr>
        <w:t xml:space="preserve">V. Thương mại </w:t>
      </w:r>
      <w:r>
        <w:rPr>
          <w:rFonts w:ascii="Times New Roman" w:hAnsi="Times New Roman" w:eastAsia="Times New Roman" w:cs="Times New Roman"/>
          <w:b/>
        </w:rPr>
        <w:t>và giá cả</w:t>
      </w:r>
    </w:p>
    <w:p w:rsidR="00000000" w:rsidRDefault="00752DFD">
      <w:pPr>
        <w:pStyle w:val="BodyTextIndent"/>
        <w:spacing w:before="120" w:line="264" w:lineRule="auto"/>
        <w:ind w:firstLine="567"/>
        <w:rPr>
          <w:spacing w:val="4"/>
        </w:rPr>
      </w:pPr>
      <w:r>
        <w:rPr>
          <w:rFonts w:ascii="Times New Roman" w:hAnsi="Times New Roman" w:eastAsia="Times New Roman" w:cs="Times New Roman"/>
          <w:spacing w:val="4"/>
        </w:rPr>
        <w:t xml:space="preserve">Tổng mức bán lẻ hàng hoá và doanh thu dịch vụ 5 tháng ước tính đạt 95 nghìn tỷ đồng, tăng 7,5% so với cùng kỳ năm trước, trong đó khu vực kinh tế Nhà nước chiếm 17,5% và tăng 8,2%; khu vực kinh tế cá thể chiếm 65,5% và tăng 6,7%; các khu vực còn </w:t>
      </w:r>
      <w:r>
        <w:rPr>
          <w:rFonts w:ascii="Times New Roman" w:hAnsi="Times New Roman" w:eastAsia="Times New Roman" w:cs="Times New Roman"/>
          <w:spacing w:val="4"/>
        </w:rPr>
        <w:t>lại (Tập thể, tư nhân, hỗn hợp và khu vực có vốn đầu tư nước ngoài) chiếm 17% và tăng 15,3%.</w:t>
      </w:r>
    </w:p>
    <w:p w:rsidR="00000000" w:rsidRDefault="00752DFD">
      <w:pPr>
        <w:pStyle w:val="BodyTextIndent"/>
        <w:spacing w:line="264" w:lineRule="auto"/>
        <w:ind w:firstLine="567"/>
        <w:rPr>
          <w:spacing w:val="-2"/>
        </w:rPr>
      </w:pPr>
      <w:r>
        <w:rPr>
          <w:rFonts w:ascii="Times New Roman" w:hAnsi="Times New Roman" w:eastAsia="Times New Roman" w:cs="Times New Roman"/>
          <w:spacing w:val="-2"/>
        </w:rPr>
        <w:t>Chỉ số giá tiêu dùng tháng 5/2001 giảm 0,2% so với tháng trước, trong đó nhóm lương thực, thực phẩm và phương tiện đi lại, bưu điện giảm 0,3%; nhà ở và vật liệu xâ</w:t>
      </w:r>
      <w:r>
        <w:rPr>
          <w:rFonts w:ascii="Times New Roman" w:hAnsi="Times New Roman" w:eastAsia="Times New Roman" w:cs="Times New Roman"/>
          <w:spacing w:val="-2"/>
        </w:rPr>
        <w:t>y dựng giảm 0,1%; các nhóm hàng hoá và dịch vụ còn lại bằng hoặc chỉ tăng 0,1-0,2%. Tính chung 5 tháng , chỉ số giá tiêu dùng giảm 0,7%, trong đó nhóm lương thực, thực phẩm giảm 1,5% (Lương thực giảm 4,9%; thực phẩm giảm 0,3%); phương tiện đi lại, bưu điện</w:t>
      </w:r>
      <w:r>
        <w:rPr>
          <w:rFonts w:ascii="Times New Roman" w:hAnsi="Times New Roman" w:eastAsia="Times New Roman" w:cs="Times New Roman"/>
          <w:spacing w:val="-2"/>
        </w:rPr>
        <w:t xml:space="preserve"> giảm 1%; dược phẩm, y tế giữ mức ổn định; các nhóm hàng hoá và dịch vụ khác tăng 0,4-0,6%. </w:t>
      </w:r>
    </w:p>
    <w:p w:rsidR="00000000" w:rsidRDefault="00752DFD">
      <w:pPr>
        <w:pStyle w:val="BodyTextIndent2"/>
        <w:spacing w:before="40" w:after="40" w:line="264" w:lineRule="auto"/>
        <w:ind w:firstLine="567"/>
        <w:jc w:val="both"/>
        <w:rPr>
          <w:spacing w:val="-2"/>
          <w:sz w:val="28"/>
        </w:rPr>
      </w:pPr>
      <w:r>
        <w:rPr>
          <w:rFonts w:ascii="Times New Roman" w:hAnsi="Times New Roman" w:eastAsia="Times New Roman" w:cs="Times New Roman"/>
          <w:spacing w:val="-2"/>
          <w:sz w:val="28"/>
        </w:rPr>
        <w:t>Kim ngạch xuất khẩu 5 tháng đầu năm ước tính đạt 6166 triệu USD, tăng 16,2% so với cùng kỳ năm trước, trong đó khu vực kinh tế trong nước xuất khẩu 3373 triệu USD,</w:t>
      </w:r>
      <w:r>
        <w:rPr>
          <w:rFonts w:ascii="Times New Roman" w:hAnsi="Times New Roman" w:eastAsia="Times New Roman" w:cs="Times New Roman"/>
          <w:spacing w:val="-2"/>
          <w:sz w:val="28"/>
        </w:rPr>
        <w:t xml:space="preserve"> tăng 19%; khu vực có vốn đầu tư nước ngoài (Kể cả dầu thô) xuất khẩu 2793 triệu USD, tăng 12,9%. Tổng kim ngạch xuất khẩu 5 tháng/2001 tăng trưởng không cao chủ yếu do giá của nhiều mặt hàng trên thị trường thế giới liên tục giảm sút hoặc đứng ở mức thấp </w:t>
      </w:r>
      <w:r>
        <w:rPr>
          <w:rFonts w:ascii="Times New Roman" w:hAnsi="Times New Roman" w:eastAsia="Times New Roman" w:cs="Times New Roman"/>
          <w:spacing w:val="-2"/>
          <w:sz w:val="28"/>
        </w:rPr>
        <w:t>nên một số mặt hàng xuất khẩu 5 tháng vừa qua của nước ta tuy tăng cao về lượng nhưng trị giá xuất khẩu thu được lại giảm: Hạt tiêu tăng 44,6% về lượng nhưng trị giá giảm 45,6%; hai chỉ tiêu tương ứng của cà phê là tăng 47,8% và giảm 17,5%; hạt điều tăng 1</w:t>
      </w:r>
      <w:r>
        <w:rPr>
          <w:rFonts w:ascii="Times New Roman" w:hAnsi="Times New Roman" w:eastAsia="Times New Roman" w:cs="Times New Roman"/>
          <w:spacing w:val="-2"/>
          <w:sz w:val="28"/>
        </w:rPr>
        <w:t xml:space="preserve">3,1% và giảm 14,3%. Bên cạnh đó, còn có một số mặt hàng khác lại gặp khó khăn về thị trường xuất khẩu nên trị giá xuất khẩu cũng giảm như giày dép giảm 3,3%; điện tử và máy tính giảm 15,9%, hàng thủ công mỹ nghệ giảm 15,4%. </w:t>
      </w:r>
    </w:p>
    <w:p w:rsidR="00000000" w:rsidRDefault="00752DFD">
      <w:pPr>
        <w:pStyle w:val="BodyTextIndent2"/>
        <w:spacing w:before="40" w:after="40" w:line="264" w:lineRule="auto"/>
        <w:ind w:firstLine="567"/>
        <w:jc w:val="both"/>
        <w:rPr>
          <w:spacing w:val="4"/>
          <w:sz w:val="28"/>
        </w:rPr>
      </w:pPr>
      <w:r>
        <w:rPr>
          <w:rFonts w:ascii="Times New Roman" w:hAnsi="Times New Roman" w:eastAsia="Times New Roman" w:cs="Times New Roman"/>
          <w:spacing w:val="4"/>
          <w:sz w:val="28"/>
        </w:rPr>
        <w:t>Kim ngạch nhập khẩu 5 tháng ước</w:t>
      </w:r>
      <w:r>
        <w:rPr>
          <w:rFonts w:ascii="Times New Roman" w:hAnsi="Times New Roman" w:eastAsia="Times New Roman" w:cs="Times New Roman"/>
          <w:spacing w:val="4"/>
          <w:sz w:val="28"/>
        </w:rPr>
        <w:t xml:space="preserve"> tính đạt 6480 triệu USD, tăng 9,0% so với cùng năm trước, trong đó khu vực kinh tế trong nước nhập khẩu 4657 triệu </w:t>
      </w:r>
      <w:r>
        <w:rPr>
          <w:rFonts w:ascii="Times New Roman" w:hAnsi="Times New Roman" w:eastAsia="Times New Roman" w:cs="Times New Roman"/>
          <w:spacing w:val="4"/>
          <w:sz w:val="28"/>
        </w:rPr>
        <w:t>USD, tăng 6,6%; khu vực có vốn đầu tư nước ngoài nhập khẩu 1823 triệu USD, tăng 15,7%. Những mặt hàng nhập khẩu tăng nhiều so với cùng kỳ nă</w:t>
      </w:r>
      <w:r>
        <w:rPr>
          <w:rFonts w:ascii="Times New Roman" w:hAnsi="Times New Roman" w:eastAsia="Times New Roman" w:cs="Times New Roman"/>
          <w:spacing w:val="4"/>
          <w:sz w:val="28"/>
        </w:rPr>
        <w:t xml:space="preserve">m trước cả về lượng và giá trị là: Sắt thép tăng 35,2% về lượng và tăng 24,1% về giá trị; ô tô gấp 2,6 lần và gấp 2,1 lần; xe máy gấp 2,1 lần và tăng 12,5%; sợi dệt tăng 18,6% và tăng 11,2%; bông tăng 11,4% và tăng 15,1%. Trị giá nhập khẩu nguyên phụ liệu </w:t>
      </w:r>
      <w:r>
        <w:rPr>
          <w:rFonts w:ascii="Times New Roman" w:hAnsi="Times New Roman" w:eastAsia="Times New Roman" w:cs="Times New Roman"/>
          <w:spacing w:val="4"/>
          <w:sz w:val="28"/>
        </w:rPr>
        <w:t>dệt, may, da tăng 34,9%; hoá chấ</w:t>
      </w:r>
      <w:r>
        <w:rPr>
          <w:rFonts w:ascii="Times New Roman" w:hAnsi="Times New Roman" w:eastAsia="Times New Roman" w:cs="Times New Roman"/>
          <w:sz w:val="28"/>
        </w:rPr>
        <w:t>t tăng 29,1%; sản phẩm hoá chất tăng 17,5%. Tuy nhiên, vẫn có một số mặt hàng trị giá nhập khẩu giảm so với cùng kỳ năm trước như: Máy móc, thiết bị, dụng cụ, phụ tùng giảm 2,2%; điện tử, máy tính và linh kiện giảm 13,8%; vả</w:t>
      </w:r>
      <w:r>
        <w:rPr>
          <w:rFonts w:ascii="Times New Roman" w:hAnsi="Times New Roman" w:eastAsia="Times New Roman" w:cs="Times New Roman"/>
          <w:sz w:val="28"/>
        </w:rPr>
        <w:t>i giảm 22,2%; thuốc trừ sâu giảm 14,3%.</w:t>
      </w:r>
    </w:p>
    <w:p w:rsidR="00000000" w:rsidRDefault="00752DFD">
      <w:pPr>
        <w:pStyle w:val="BodyTextIndent2"/>
        <w:spacing w:before="40" w:after="40" w:line="264" w:lineRule="auto"/>
        <w:ind w:firstLine="567"/>
        <w:jc w:val="both"/>
        <w:rPr>
          <w:sz w:val="28"/>
        </w:rPr>
      </w:pPr>
      <w:r>
        <w:rPr>
          <w:rFonts w:ascii="Times New Roman" w:hAnsi="Times New Roman" w:eastAsia="Times New Roman" w:cs="Times New Roman"/>
          <w:sz w:val="28"/>
        </w:rPr>
        <w:t>Nhập siêu 5 tháng 314 triệu USD, bằng 5,1% kim ngạch xuất khẩu, trong đó khu vực kinh tế trong nước nhập siêu 1284 triệu USD; khu vực có vốn đầu tư nước ngoài xuất siêu 970 triệu USD.</w:t>
      </w:r>
    </w:p>
    <w:p w:rsidR="00000000" w:rsidRDefault="00752DFD">
      <w:pPr>
        <w:pStyle w:val="Heading4"/>
        <w:spacing w:before="40" w:after="40" w:line="300" w:lineRule="auto"/>
        <w:rPr>
          <w:rFonts w:ascii=".VnTimeH" w:hAnsi=".VnTimeH"/>
          <w:sz w:val="26"/>
        </w:rPr>
      </w:pPr>
      <w:r>
        <w:rPr>
          <w:rFonts w:ascii="Times New Roman" w:hAnsi="Times New Roman" w:eastAsia="Times New Roman" w:cs="Times New Roman"/>
          <w:sz w:val="26"/>
        </w:rPr>
        <w:t>VI. Ngân sách nhà nước</w:t>
      </w:r>
    </w:p>
    <w:p w:rsidR="00000000" w:rsidRDefault="00752DFD">
      <w:pPr>
        <w:spacing w:before="40" w:after="40" w:line="300" w:lineRule="auto"/>
        <w:ind w:firstLine="567"/>
        <w:jc w:val="both"/>
        <w:rPr>
          <w:sz w:val="28"/>
        </w:rPr>
      </w:pPr>
      <w:r>
        <w:rPr>
          <w:rFonts w:ascii="Times New Roman" w:hAnsi="Times New Roman" w:eastAsia="Times New Roman" w:cs="Times New Roman"/>
          <w:sz w:val="28"/>
        </w:rPr>
        <w:t xml:space="preserve">Tổng thu </w:t>
      </w:r>
      <w:r>
        <w:rPr>
          <w:rFonts w:ascii="Times New Roman" w:hAnsi="Times New Roman" w:eastAsia="Times New Roman" w:cs="Times New Roman"/>
          <w:sz w:val="28"/>
        </w:rPr>
        <w:t xml:space="preserve">ngân sách Nhà nước 5 tháng đầu năm ước tính đạt 44,8% dự toán cả năm và tăng 8,3% so với cùng kỳ năm trước, trong đó thu thuế và phí nội địa chiếm 97,3%, đạt 45,2% và tăng 9,1%. Số thu 5 tháng so với dự toán cả năm của hầu hết các khoản thu lớn đều đã đạt </w:t>
      </w:r>
      <w:r>
        <w:rPr>
          <w:rFonts w:ascii="Times New Roman" w:hAnsi="Times New Roman" w:eastAsia="Times New Roman" w:cs="Times New Roman"/>
          <w:sz w:val="28"/>
        </w:rPr>
        <w:t>tỷ lệ tương đối cao:  Thu từ kinh tế Nhà nước đạt 39,1%; thu từ doanh nghiệp có vốn đầu tư nước ngoài đạt 54,7%; thuế xuất nhập khẩu đạt 40,9%; thuế công thương nghiệp ngoài quốc doanh đạt 38,8%.</w:t>
      </w:r>
    </w:p>
    <w:p w:rsidR="00000000" w:rsidRDefault="00752DFD">
      <w:pPr>
        <w:spacing w:before="40" w:after="40" w:line="300" w:lineRule="auto"/>
        <w:ind w:firstLine="567"/>
        <w:jc w:val="both"/>
        <w:rPr>
          <w:sz w:val="28"/>
        </w:rPr>
      </w:pPr>
      <w:r>
        <w:rPr>
          <w:rFonts w:ascii="Times New Roman" w:hAnsi="Times New Roman" w:eastAsia="Times New Roman" w:cs="Times New Roman"/>
          <w:sz w:val="28"/>
        </w:rPr>
        <w:t xml:space="preserve">Tổng số chi ngân sách 5 tháng ước tính đạt 36,2% dự toán cả </w:t>
      </w:r>
      <w:r>
        <w:rPr>
          <w:rFonts w:ascii="Times New Roman" w:hAnsi="Times New Roman" w:eastAsia="Times New Roman" w:cs="Times New Roman"/>
          <w:sz w:val="28"/>
        </w:rPr>
        <w:t>năm, trong đó chi đầu tư phát triển đạt 25,5%</w:t>
      </w:r>
      <w:r>
        <w:rPr>
          <w:sz w:val="28"/>
          <w:vertAlign w:val="superscript"/>
        </w:rPr>
        <w:t>(*)</w:t>
      </w:r>
      <w:r>
        <w:rPr>
          <w:rFonts w:ascii="Times New Roman" w:hAnsi="Times New Roman" w:eastAsia="Times New Roman" w:cs="Times New Roman"/>
          <w:sz w:val="28"/>
        </w:rPr>
        <w:t>; chi trả nợ và viện trợ đạt 36,2%; chi thường xuyên đạt 42,9% (Chi giáo dục và đào tạo đạt 42,9%; chi y tế đạt 43,3%; chi khoa học công nghệ và môi trường đạt 43,1%; chi lương hưu và đảm bảo xã hội đạt 42,4%</w:t>
      </w:r>
      <w:r>
        <w:rPr>
          <w:rFonts w:ascii="Times New Roman" w:hAnsi="Times New Roman" w:eastAsia="Times New Roman" w:cs="Times New Roman"/>
          <w:sz w:val="28"/>
        </w:rPr>
        <w:t>; chi sự nghiệp kinh tế đạt 43,4%). Riêng chi đầu tư xây dựng cơ bản tháng 5 tuy đã tăng 22,7% so với tháng 4 nhưng tính chung 5 tháng mới đạt 24,9%</w:t>
      </w:r>
      <w:r>
        <w:rPr>
          <w:sz w:val="28"/>
          <w:vertAlign w:val="superscript"/>
        </w:rPr>
        <w:t>(*)</w:t>
      </w:r>
      <w:r>
        <w:rPr>
          <w:rFonts w:ascii="Times New Roman" w:hAnsi="Times New Roman" w:eastAsia="Times New Roman" w:cs="Times New Roman"/>
          <w:sz w:val="28"/>
        </w:rPr>
        <w:t xml:space="preserve"> dự toán cả năm, chủ yếu do công tác chuẩn bị dự án đầu tư và việc tuân thủ các quy định hiện hành về rút</w:t>
      </w:r>
      <w:r>
        <w:rPr>
          <w:rFonts w:ascii="Times New Roman" w:hAnsi="Times New Roman" w:eastAsia="Times New Roman" w:cs="Times New Roman"/>
          <w:sz w:val="28"/>
        </w:rPr>
        <w:t xml:space="preserve"> vốn đầu tư chưa làm tốt nên giải ngân vốn chậm.</w:t>
      </w:r>
    </w:p>
    <w:p w:rsidR="00000000" w:rsidRDefault="00752DFD">
      <w:pPr>
        <w:spacing w:before="40" w:after="40" w:line="300" w:lineRule="auto"/>
        <w:ind w:firstLine="567"/>
        <w:jc w:val="both"/>
      </w:pPr>
      <w:r>
        <w:rPr>
          <w:rFonts w:ascii="Times New Roman" w:hAnsi="Times New Roman" w:eastAsia="Times New Roman" w:cs="Times New Roman"/>
          <w:sz w:val="28"/>
        </w:rPr>
        <w:t>Bội chi ngân sách 5 tháng bằng 8,5% tổng số thu, bằng 7,8% tổng số chi và bằng 11% tổng mức dự toán bội chi cả năm. Số bội chi này được bù đắp bằng nguồn vay, trong đó vay trong nước bù đắp 90,2%; còn lại 9,</w:t>
      </w:r>
      <w:r>
        <w:rPr>
          <w:rFonts w:ascii="Times New Roman" w:hAnsi="Times New Roman" w:eastAsia="Times New Roman" w:cs="Times New Roman"/>
          <w:sz w:val="28"/>
        </w:rPr>
        <w:t>8% bù đắp bằng nguồn vay ngoài nước.</w:t>
      </w:r>
    </w:p>
    <w:p w:rsidR="00000000" w:rsidRDefault="00752DFD">
      <w:pPr>
        <w:pStyle w:val="Heading4"/>
        <w:spacing w:before="40" w:after="40" w:line="300" w:lineRule="auto"/>
        <w:rPr>
          <w:rFonts w:ascii=".VnTimeH" w:hAnsi=".VnTimeH"/>
          <w:sz w:val="8"/>
        </w:rPr>
      </w:pPr>
    </w:p>
    <w:p w:rsidR="00000000" w:rsidRDefault="00752DFD">
      <w:pPr>
        <w:pStyle w:val="Heading4"/>
        <w:spacing w:before="40" w:after="40" w:line="300" w:lineRule="auto"/>
        <w:rPr>
          <w:rFonts w:ascii=".VnTimeH" w:hAnsi=".VnTimeH"/>
        </w:rPr>
      </w:pPr>
      <w:r>
        <w:rPr>
          <w:rFonts w:ascii="Times New Roman" w:hAnsi="Times New Roman" w:eastAsia="Times New Roman" w:cs="Times New Roman"/>
          <w:sz w:val="26"/>
        </w:rPr>
        <w:t>VII. Một số vấn đề xã hội</w:t>
      </w:r>
    </w:p>
    <w:p w:rsidR="00000000" w:rsidRDefault="00752DFD">
      <w:pPr>
        <w:spacing w:before="40" w:after="40" w:line="300" w:lineRule="auto"/>
        <w:ind w:firstLine="567"/>
        <w:jc w:val="both"/>
        <w:rPr>
          <w:b/>
          <w:sz w:val="2"/>
        </w:rPr>
      </w:pPr>
    </w:p>
    <w:p w:rsidR="00000000" w:rsidRDefault="00752DFD">
      <w:pPr>
        <w:spacing w:before="40" w:after="40" w:line="300" w:lineRule="auto"/>
        <w:ind w:firstLine="567"/>
        <w:jc w:val="both"/>
        <w:rPr>
          <w:b/>
          <w:sz w:val="28"/>
        </w:rPr>
      </w:pPr>
      <w:r>
        <w:rPr>
          <w:rFonts w:ascii="Times New Roman" w:hAnsi="Times New Roman" w:eastAsia="Times New Roman" w:cs="Times New Roman"/>
          <w:b/>
          <w:sz w:val="28"/>
        </w:rPr>
        <w:t>1. Thiếu đói giáp hạt</w:t>
      </w:r>
    </w:p>
    <w:p w:rsidR="00000000" w:rsidRDefault="00752DFD">
      <w:pPr>
        <w:spacing w:before="40" w:after="40" w:line="300" w:lineRule="auto"/>
        <w:ind w:firstLine="567"/>
        <w:jc w:val="both"/>
        <w:rPr>
          <w:snapToGrid w:val="0"/>
          <w:color w:val="000000"/>
          <w:sz w:val="28"/>
        </w:rPr>
      </w:pPr>
      <w:r>
        <w:rPr>
          <w:rFonts w:ascii="Times New Roman" w:hAnsi="Times New Roman" w:eastAsia="Times New Roman" w:cs="Times New Roman"/>
          <w:sz w:val="28"/>
        </w:rPr>
        <w:t xml:space="preserve">Tình hình thiếu đói giáp hạt trong nông thôn tuy vẫn còn xảy ra ở một số địa phương, nhưng nhìn chung thấp hơn nhiều so với cùng kỳ năm trước. Theo báo cáo của 30 tỉnh, </w:t>
      </w:r>
      <w:r>
        <w:rPr>
          <w:rFonts w:ascii="Times New Roman" w:hAnsi="Times New Roman" w:eastAsia="Times New Roman" w:cs="Times New Roman"/>
          <w:sz w:val="28"/>
        </w:rPr>
        <w:t>thành phố thì tháng 4 là tháng thiếu đói xảy ra nhiều nhất với</w:t>
      </w:r>
      <w:r>
        <w:rPr>
          <w:rFonts w:ascii="Times New Roman" w:hAnsi="Times New Roman" w:eastAsia="Times New Roman" w:cs="Times New Roman"/>
          <w:snapToGrid w:val="0"/>
          <w:color w:val="000000"/>
          <w:sz w:val="28"/>
        </w:rPr>
        <w:t xml:space="preserve"> 253 nghìn hộ và 1,167 triệu nhân khẩu nhưng cũng chỉ bằng 70% cả về số hộ cũng như về số nhân khẩu của tháng 4/2000. </w:t>
      </w:r>
      <w:r>
        <w:rPr>
          <w:rFonts w:ascii="Times New Roman" w:hAnsi="Times New Roman" w:eastAsia="Times New Roman" w:cs="Times New Roman"/>
          <w:sz w:val="28"/>
        </w:rPr>
        <w:t>Tháng 5 tình hình thiếu đói đã giảm xuống. Tại thời điểm 18/5/2001, số hộ th</w:t>
      </w:r>
      <w:r>
        <w:rPr>
          <w:rFonts w:ascii="Times New Roman" w:hAnsi="Times New Roman" w:eastAsia="Times New Roman" w:cs="Times New Roman"/>
          <w:sz w:val="28"/>
        </w:rPr>
        <w:t xml:space="preserve">iếu đói chỉ còn </w:t>
      </w:r>
      <w:r>
        <w:rPr>
          <w:rFonts w:ascii="Times New Roman" w:hAnsi="Times New Roman" w:eastAsia="Times New Roman" w:cs="Times New Roman"/>
          <w:snapToGrid w:val="0"/>
          <w:color w:val="000000"/>
          <w:sz w:val="28"/>
        </w:rPr>
        <w:t>209 nghìn hộ, chiếm 1,66% tổng số hộ nông nghiệp với 994 nghìn nhân khẩu, chiếm 1,7% tổng số nhân khẩu nông nghiệp. Thiếu đói xảy ra chủ yếu ở các tỉnh thuộc các vùng Tây Bắc, Đông Bắc, Bắc Trung Bộ và Tây Nguyên. Từ đầu năm đến nay, các đị</w:t>
      </w:r>
      <w:r>
        <w:rPr>
          <w:rFonts w:ascii="Times New Roman" w:hAnsi="Times New Roman" w:eastAsia="Times New Roman" w:cs="Times New Roman"/>
          <w:snapToGrid w:val="0"/>
          <w:color w:val="000000"/>
          <w:sz w:val="28"/>
        </w:rPr>
        <w:t xml:space="preserve">a phương đã hỗ trợ cho các hộ thiếu đói 3.503 tấn lương thực và 12,4 tỷ đồng. </w:t>
      </w:r>
    </w:p>
    <w:p w:rsidR="00000000" w:rsidRDefault="00752DFD">
      <w:pPr>
        <w:spacing w:before="40" w:after="40" w:line="348" w:lineRule="auto"/>
        <w:ind w:firstLine="567"/>
        <w:jc w:val="both"/>
        <w:rPr>
          <w:b/>
          <w:sz w:val="28"/>
        </w:rPr>
      </w:pPr>
      <w:r>
        <w:rPr>
          <w:b/>
          <w:noProof/>
          <w:sz w:val="28"/>
        </w:rPr>
        <w:pict>
          <v:line id="_x0000_s1032" style="position:absolute;left:0;text-align:left;z-index:251657216;mso-position-horizontal:absolute;mso-position-horizontal-relative:text;mso-position-vertical:absolute;mso-position-vertical-relative:text" from="1.35pt,10.15pt" to="253.35pt,10.15pt" o:allowincell="f"/>
        </w:pict>
      </w:r>
      <w:r>
        <w:rPr>
          <w:b/>
          <w:noProof/>
          <w:sz w:val="28"/>
        </w:rPr>
        <w:pict>
          <v:shapetype id="_x0000_t202" coordsize="21600,21600" o:spt="202" path="m,l,21600r21600,l21600,xe">
            <v:stroke joinstyle="miter"/>
            <v:path gradientshapeok="t" o:connecttype="rect"/>
          </v:shapetype>
          <v:shape id="_x0000_s1033" type="#_x0000_t202" style="position:absolute;left:0;text-align:left;margin-left:1.35pt;margin-top:17.35pt;width:410.4pt;height:21.6pt;z-index:251658240;mso-position-horizontal:absolute;mso-position-horizontal-relative:text;mso-position-vertical:absolute;mso-position-vertical-relative:text" o:allowincell="f" strokecolor="white">
            <v:textbox style="mso-next-textbox:#_x0000_s1033">
              <w:txbxContent>
                <w:p w:rsidR="00000000" w:rsidRDefault="00752DFD">
                  <w:r>
                    <w:rPr>
                      <w:sz w:val="22"/>
                    </w:rPr>
                    <w:t>(*). Kh«ng kÓ phÇn chi thanh to¸n khèi l­îng XDCB hoµn thµnh n¨m 2000 chuyÓn sang.</w:t>
                  </w:r>
                </w:p>
              </w:txbxContent>
            </v:textbox>
          </v:shape>
        </w:pict>
      </w:r>
    </w:p>
    <w:p w:rsidR="00000000" w:rsidRDefault="00752DFD">
      <w:pPr>
        <w:spacing w:before="40" w:after="40" w:line="348" w:lineRule="auto"/>
        <w:ind w:firstLine="567"/>
        <w:jc w:val="both"/>
        <w:rPr>
          <w:b/>
          <w:sz w:val="28"/>
        </w:rPr>
      </w:pPr>
    </w:p>
    <w:p w:rsidR="00000000" w:rsidRDefault="00752DFD">
      <w:pPr>
        <w:spacing w:before="40" w:after="40" w:line="348" w:lineRule="auto"/>
        <w:ind w:firstLine="567"/>
        <w:jc w:val="both"/>
        <w:rPr>
          <w:b/>
          <w:sz w:val="28"/>
        </w:rPr>
      </w:pPr>
      <w:r>
        <w:rPr>
          <w:rFonts w:ascii="Times New Roman" w:hAnsi="Times New Roman" w:eastAsia="Times New Roman" w:cs="Times New Roman"/>
          <w:b/>
          <w:sz w:val="28"/>
        </w:rPr>
        <w:t>2. Tình hình dịch bệnh</w:t>
      </w:r>
    </w:p>
    <w:p w:rsidR="00000000" w:rsidRDefault="00752DFD">
      <w:pPr>
        <w:spacing w:before="40" w:after="40" w:line="348" w:lineRule="auto"/>
        <w:ind w:firstLine="567"/>
        <w:jc w:val="both"/>
        <w:rPr>
          <w:sz w:val="2"/>
        </w:rPr>
      </w:pPr>
    </w:p>
    <w:p w:rsidR="00000000" w:rsidRDefault="00752DFD">
      <w:pPr>
        <w:spacing w:before="40" w:after="40" w:line="348" w:lineRule="auto"/>
        <w:ind w:firstLine="567"/>
        <w:jc w:val="both"/>
        <w:rPr>
          <w:spacing w:val="8"/>
          <w:sz w:val="28"/>
        </w:rPr>
      </w:pPr>
      <w:r>
        <w:rPr>
          <w:rFonts w:ascii="Times New Roman" w:hAnsi="Times New Roman" w:eastAsia="Times New Roman" w:cs="Times New Roman"/>
          <w:spacing w:val="8"/>
          <w:sz w:val="28"/>
        </w:rPr>
        <w:t>Tình hình dịch bệnh trong tháng 5-2001 có chiều hướng tăng hơn tháng trước. Theo số liệu của 12 tỉnh và thành phố, trong tháng 5-2001 có 1102 người m</w:t>
      </w:r>
      <w:r>
        <w:rPr>
          <w:rFonts w:ascii="Times New Roman" w:hAnsi="Times New Roman" w:eastAsia="Times New Roman" w:cs="Times New Roman"/>
          <w:spacing w:val="8"/>
          <w:sz w:val="28"/>
        </w:rPr>
        <w:t xml:space="preserve">ắc bệnh thương hàn, tăng 318 người so với tháng 4/2001; số người bị sốt rét của 41 tỉnh, thành phố là 23624 người, tăng 6382 người; sốt xuất huyết ở 24 tỉnh, thành phố là 1146 người, tăng 512 người. Trước tình hình này, Bộ Y tế đã cử nhiều đoàn chống dịch </w:t>
      </w:r>
      <w:r>
        <w:rPr>
          <w:rFonts w:ascii="Times New Roman" w:hAnsi="Times New Roman" w:eastAsia="Times New Roman" w:cs="Times New Roman"/>
          <w:spacing w:val="8"/>
          <w:sz w:val="28"/>
        </w:rPr>
        <w:t>của Bộ và Viện Vệ sinh dịch tễ Trung ương đến hỗ trợ các địa phương triển khai các biện pháp chống dịch và tổ chức tiêm phòng bổ sung mũi sởi thứ 2 cho các tỉnh có dịch. Ngoài ra, Bộ Y tế còn hỗ trợ cho Hà Giang 50 triệu đồng, Lào Cai 30 triệu đồng để thực</w:t>
      </w:r>
      <w:r>
        <w:rPr>
          <w:rFonts w:ascii="Times New Roman" w:hAnsi="Times New Roman" w:eastAsia="Times New Roman" w:cs="Times New Roman"/>
          <w:spacing w:val="8"/>
          <w:sz w:val="28"/>
        </w:rPr>
        <w:t xml:space="preserve"> hiện công tác chống dịch.</w:t>
      </w:r>
    </w:p>
    <w:p w:rsidR="00000000" w:rsidRDefault="00752DFD">
      <w:pPr>
        <w:spacing w:before="40" w:after="40" w:line="348" w:lineRule="auto"/>
        <w:ind w:firstLine="567"/>
        <w:jc w:val="both"/>
        <w:rPr>
          <w:spacing w:val="-2"/>
          <w:sz w:val="28"/>
        </w:rPr>
      </w:pPr>
      <w:r>
        <w:rPr>
          <w:rFonts w:ascii="Times New Roman" w:hAnsi="Times New Roman" w:eastAsia="Times New Roman" w:cs="Times New Roman"/>
          <w:spacing w:val="-2"/>
          <w:sz w:val="28"/>
        </w:rPr>
        <w:t>Cũng trong tháng 5-2001, đã phát hiện thêm 1322 trường hợp nhiễm HIV, nhiều hơn tháng trước 253 trường hợp, đưa tổng số người nhiễm HIV được phát hiện của cả nước tính đến 20/5/2001 lên 36081 người, trong đó có 5392 bệnh nhân AID</w:t>
      </w:r>
      <w:r>
        <w:rPr>
          <w:rFonts w:ascii="Times New Roman" w:hAnsi="Times New Roman" w:eastAsia="Times New Roman" w:cs="Times New Roman"/>
          <w:spacing w:val="-2"/>
          <w:sz w:val="28"/>
        </w:rPr>
        <w:t xml:space="preserve">S (2918 người đã chết). </w:t>
      </w:r>
    </w:p>
    <w:p w:rsidR="00000000" w:rsidRDefault="00752DFD">
      <w:pPr>
        <w:spacing w:before="40" w:after="40" w:line="348" w:lineRule="auto"/>
        <w:ind w:firstLine="567"/>
        <w:rPr>
          <w:b/>
          <w:sz w:val="10"/>
          <w:lang w:val="en-GB"/>
        </w:rPr>
      </w:pPr>
    </w:p>
    <w:p w:rsidR="00000000" w:rsidRDefault="00752DFD">
      <w:pPr>
        <w:spacing w:before="40" w:after="40" w:line="348" w:lineRule="auto"/>
        <w:ind w:firstLine="567"/>
        <w:rPr>
          <w:b/>
          <w:sz w:val="28"/>
          <w:lang w:val="en-GB"/>
        </w:rPr>
      </w:pPr>
      <w:r>
        <w:rPr>
          <w:rFonts w:ascii="Times New Roman" w:hAnsi="Times New Roman" w:eastAsia="Times New Roman" w:cs="Times New Roman"/>
          <w:b/>
          <w:sz w:val="28"/>
          <w:lang w:val="en-GB"/>
        </w:rPr>
        <w:t>3. Tình hình chuẩn bị thi tốt nghiệp các cấp phổ thông</w:t>
      </w:r>
    </w:p>
    <w:p w:rsidR="00000000" w:rsidRDefault="00752DFD">
      <w:pPr>
        <w:spacing w:before="40" w:after="40" w:line="348" w:lineRule="auto"/>
        <w:ind w:firstLine="567"/>
        <w:jc w:val="both"/>
        <w:rPr>
          <w:spacing w:val="4"/>
          <w:sz w:val="28"/>
        </w:rPr>
      </w:pPr>
      <w:r>
        <w:rPr>
          <w:rFonts w:ascii="Times New Roman" w:hAnsi="Times New Roman" w:eastAsia="Times New Roman" w:cs="Times New Roman"/>
          <w:spacing w:val="4"/>
          <w:sz w:val="28"/>
        </w:rPr>
        <w:t>Bộ Giáo dục và Đào tạo đã phổ biến các môn thi, quy chế, kế hoạch thi và chuẩn</w:t>
      </w:r>
      <w:r>
        <w:rPr>
          <w:rFonts w:ascii="Times New Roman" w:hAnsi="Times New Roman" w:eastAsia="Times New Roman" w:cs="Times New Roman"/>
          <w:sz w:val="28"/>
        </w:rPr>
        <w:t xml:space="preserve"> bị đầy đủ cơ sở vật chất cho kỳ thi tốt nghiệp phổ thông các cấp 2000-</w:t>
      </w:r>
      <w:r>
        <w:rPr>
          <w:rFonts w:ascii="Times New Roman" w:hAnsi="Times New Roman" w:eastAsia="Times New Roman" w:cs="Times New Roman"/>
          <w:spacing w:val="4"/>
          <w:sz w:val="28"/>
        </w:rPr>
        <w:t xml:space="preserve">2001 và thi tuyển vào các </w:t>
      </w:r>
      <w:r>
        <w:rPr>
          <w:rFonts w:ascii="Times New Roman" w:hAnsi="Times New Roman" w:eastAsia="Times New Roman" w:cs="Times New Roman"/>
          <w:spacing w:val="4"/>
          <w:sz w:val="28"/>
        </w:rPr>
        <w:t>trường đại học, cao đẳng, trung học chuyên nghiệp trong cả nước.</w:t>
      </w:r>
    </w:p>
    <w:p w:rsidR="00000000" w:rsidRDefault="00752DFD">
      <w:pPr>
        <w:spacing w:before="40" w:after="40" w:line="312" w:lineRule="auto"/>
        <w:jc w:val="center"/>
        <w:rPr>
          <w:spacing w:val="-6"/>
          <w:sz w:val="28"/>
        </w:rPr>
      </w:pPr>
      <w:r>
        <w:rPr>
          <w:rFonts w:ascii="Times New Roman" w:hAnsi="Times New Roman" w:eastAsia="Times New Roman" w:cs="Times New Roman"/>
          <w:spacing w:val="-6"/>
          <w:sz w:val="28"/>
        </w:rPr>
        <w:t>Số phòng thi và số học sinh  tham dự kỳ thi tốt nghiệp phổ thông dự kiến như sau:</w:t>
      </w:r>
    </w:p>
    <w:p w:rsidR="00000000" w:rsidRDefault="00752DFD">
      <w:pPr>
        <w:spacing w:before="40" w:after="40" w:line="312" w:lineRule="auto"/>
        <w:ind w:firstLine="567"/>
        <w:jc w:val="both"/>
        <w:rPr>
          <w:sz w:val="12"/>
        </w:rPr>
      </w:pPr>
    </w:p>
    <w:p w:rsidR="00000000" w:rsidRDefault="00752DFD">
      <w:pPr>
        <w:spacing w:before="40" w:after="40" w:line="312" w:lineRule="auto"/>
        <w:ind w:firstLine="567"/>
        <w:jc w:val="both"/>
        <w:rPr>
          <w:sz w:val="28"/>
        </w:rPr>
      </w:pPr>
    </w:p>
    <w:tbl>
      <w:tblPr>
        <w:tblW w:w="0" w:type="auto"/>
        <w:jc w:val="center"/>
        <w:tblLayout w:type="fixed"/>
        <w:tblLook w:val="0000" w:firstRow="0" w:lastRow="0" w:firstColumn="0" w:lastColumn="0" w:noHBand="0" w:noVBand="0"/>
      </w:tblPr>
      <w:tblGrid>
        <w:gridCol w:w="3227"/>
        <w:gridCol w:w="2551"/>
        <w:gridCol w:w="2551"/>
      </w:tblGrid>
      <w:tr w:rsidR="00000000">
        <w:tblPrEx>
          <w:tblCellMar>
            <w:top w:w="0" w:type="dxa"/>
            <w:bottom w:w="0" w:type="dxa"/>
          </w:tblCellMar>
        </w:tblPrEx>
        <w:trPr>
          <w:jc w:val="center"/>
        </w:trPr>
        <w:tc>
          <w:tcPr>
            <w:tcW w:w="3227" w:type="dxa"/>
            <w:tcBorders>
              <w:top w:val="single" w:sz="4" w:space="0" w:color="auto"/>
            </w:tcBorders>
          </w:tcPr>
          <w:p w:rsidR="00000000" w:rsidRDefault="00752DFD">
            <w:pPr>
              <w:spacing w:before="40" w:after="40"/>
              <w:ind w:firstLine="567"/>
              <w:jc w:val="both"/>
              <w:rPr>
                <w:sz w:val="28"/>
              </w:rPr>
            </w:pPr>
          </w:p>
        </w:tc>
        <w:tc>
          <w:tcPr>
            <w:tcW w:w="2551" w:type="dxa"/>
            <w:tcBorders>
              <w:top w:val="single" w:sz="4" w:space="0" w:color="auto"/>
              <w:bottom w:val="single" w:sz="4" w:space="0" w:color="auto"/>
            </w:tcBorders>
          </w:tcPr>
          <w:p w:rsidR="00000000" w:rsidRDefault="00752DFD">
            <w:pPr>
              <w:spacing w:after="40"/>
              <w:ind w:firstLine="34"/>
              <w:jc w:val="center"/>
              <w:rPr>
                <w:sz w:val="28"/>
              </w:rPr>
            </w:pPr>
            <w:r>
              <w:rPr>
                <w:rFonts w:ascii="Times New Roman" w:hAnsi="Times New Roman" w:eastAsia="Times New Roman" w:cs="Times New Roman"/>
                <w:sz w:val="28"/>
              </w:rPr>
              <w:t>Số phòng thi</w:t>
            </w:r>
          </w:p>
          <w:p w:rsidR="00000000" w:rsidRDefault="00752DFD">
            <w:pPr>
              <w:spacing w:after="40"/>
              <w:ind w:firstLine="34"/>
              <w:jc w:val="center"/>
              <w:rPr>
                <w:sz w:val="28"/>
              </w:rPr>
            </w:pPr>
            <w:r>
              <w:rPr>
                <w:rFonts w:ascii="Times New Roman" w:hAnsi="Times New Roman" w:eastAsia="Times New Roman" w:cs="Times New Roman"/>
                <w:sz w:val="28"/>
              </w:rPr>
              <w:t>(Nghìn phòng)</w:t>
            </w:r>
          </w:p>
        </w:tc>
        <w:tc>
          <w:tcPr>
            <w:tcW w:w="2551" w:type="dxa"/>
            <w:tcBorders>
              <w:top w:val="single" w:sz="4" w:space="0" w:color="auto"/>
              <w:bottom w:val="single" w:sz="4" w:space="0" w:color="auto"/>
            </w:tcBorders>
          </w:tcPr>
          <w:p w:rsidR="00000000" w:rsidRDefault="00752DFD">
            <w:pPr>
              <w:spacing w:before="40" w:after="40"/>
              <w:ind w:firstLine="34"/>
              <w:jc w:val="center"/>
              <w:rPr>
                <w:sz w:val="28"/>
              </w:rPr>
            </w:pPr>
            <w:r>
              <w:rPr>
                <w:rFonts w:ascii="Times New Roman" w:hAnsi="Times New Roman" w:eastAsia="Times New Roman" w:cs="Times New Roman"/>
                <w:sz w:val="28"/>
              </w:rPr>
              <w:t>Số học sinh dự thi (Nghìn học sinh)</w:t>
            </w:r>
          </w:p>
        </w:tc>
      </w:tr>
      <w:tr w:rsidR="00000000">
        <w:tblPrEx>
          <w:tblCellMar>
            <w:top w:w="0" w:type="dxa"/>
            <w:bottom w:w="0" w:type="dxa"/>
          </w:tblCellMar>
        </w:tblPrEx>
        <w:trPr>
          <w:jc w:val="center"/>
        </w:trPr>
        <w:tc>
          <w:tcPr>
            <w:tcW w:w="3227" w:type="dxa"/>
          </w:tcPr>
          <w:p w:rsidR="00000000" w:rsidRDefault="00752DFD">
            <w:pPr>
              <w:spacing w:before="120" w:after="40" w:line="312" w:lineRule="auto"/>
              <w:jc w:val="both"/>
              <w:rPr>
                <w:sz w:val="28"/>
              </w:rPr>
            </w:pPr>
            <w:r>
              <w:rPr>
                <w:rFonts w:ascii="Times New Roman" w:hAnsi="Times New Roman" w:eastAsia="Times New Roman" w:cs="Times New Roman"/>
                <w:sz w:val="28"/>
              </w:rPr>
              <w:t>Cấp tiểu học</w:t>
            </w:r>
          </w:p>
        </w:tc>
        <w:tc>
          <w:tcPr>
            <w:tcW w:w="2551" w:type="dxa"/>
          </w:tcPr>
          <w:p w:rsidR="00000000" w:rsidRDefault="00752DFD">
            <w:pPr>
              <w:spacing w:before="120" w:after="40" w:line="312" w:lineRule="auto"/>
              <w:ind w:right="884"/>
              <w:jc w:val="right"/>
              <w:rPr>
                <w:sz w:val="28"/>
              </w:rPr>
            </w:pPr>
            <w:r>
              <w:rPr>
                <w:sz w:val="28"/>
              </w:rPr>
              <w:t>77,2</w:t>
            </w:r>
          </w:p>
        </w:tc>
        <w:tc>
          <w:tcPr>
            <w:tcW w:w="2551" w:type="dxa"/>
          </w:tcPr>
          <w:p w:rsidR="00000000" w:rsidRDefault="00752DFD">
            <w:pPr>
              <w:spacing w:before="120" w:after="40" w:line="312" w:lineRule="auto"/>
              <w:ind w:right="884"/>
              <w:jc w:val="right"/>
              <w:rPr>
                <w:sz w:val="28"/>
              </w:rPr>
            </w:pPr>
            <w:r>
              <w:rPr>
                <w:sz w:val="28"/>
              </w:rPr>
              <w:t>1700</w:t>
            </w:r>
          </w:p>
        </w:tc>
      </w:tr>
      <w:tr w:rsidR="00000000">
        <w:tblPrEx>
          <w:tblCellMar>
            <w:top w:w="0" w:type="dxa"/>
            <w:bottom w:w="0" w:type="dxa"/>
          </w:tblCellMar>
        </w:tblPrEx>
        <w:trPr>
          <w:jc w:val="center"/>
        </w:trPr>
        <w:tc>
          <w:tcPr>
            <w:tcW w:w="3227" w:type="dxa"/>
          </w:tcPr>
          <w:p w:rsidR="00000000" w:rsidRDefault="00752DFD">
            <w:pPr>
              <w:spacing w:before="120" w:after="40" w:line="312" w:lineRule="auto"/>
              <w:jc w:val="both"/>
              <w:rPr>
                <w:sz w:val="28"/>
              </w:rPr>
            </w:pPr>
            <w:r>
              <w:rPr>
                <w:rFonts w:ascii="Times New Roman" w:hAnsi="Times New Roman" w:eastAsia="Times New Roman" w:cs="Times New Roman"/>
                <w:sz w:val="28"/>
              </w:rPr>
              <w:t>Cấp phổ thông cơ s</w:t>
            </w:r>
            <w:r>
              <w:rPr>
                <w:rFonts w:ascii="Times New Roman" w:hAnsi="Times New Roman" w:eastAsia="Times New Roman" w:cs="Times New Roman"/>
                <w:sz w:val="28"/>
              </w:rPr>
              <w:t>ở</w:t>
            </w:r>
          </w:p>
        </w:tc>
        <w:tc>
          <w:tcPr>
            <w:tcW w:w="2551" w:type="dxa"/>
          </w:tcPr>
          <w:p w:rsidR="00000000" w:rsidRDefault="00752DFD">
            <w:pPr>
              <w:spacing w:before="120" w:after="40" w:line="312" w:lineRule="auto"/>
              <w:ind w:right="884"/>
              <w:jc w:val="right"/>
              <w:rPr>
                <w:sz w:val="28"/>
              </w:rPr>
            </w:pPr>
            <w:r>
              <w:rPr>
                <w:sz w:val="28"/>
              </w:rPr>
              <w:t>47,0</w:t>
            </w:r>
          </w:p>
        </w:tc>
        <w:tc>
          <w:tcPr>
            <w:tcW w:w="2551" w:type="dxa"/>
          </w:tcPr>
          <w:p w:rsidR="00000000" w:rsidRDefault="00752DFD">
            <w:pPr>
              <w:spacing w:before="120" w:after="40" w:line="312" w:lineRule="auto"/>
              <w:ind w:right="884"/>
              <w:jc w:val="right"/>
              <w:rPr>
                <w:sz w:val="28"/>
              </w:rPr>
            </w:pPr>
            <w:r>
              <w:rPr>
                <w:sz w:val="28"/>
              </w:rPr>
              <w:t>1175</w:t>
            </w:r>
          </w:p>
        </w:tc>
      </w:tr>
      <w:tr w:rsidR="00000000">
        <w:tblPrEx>
          <w:tblCellMar>
            <w:top w:w="0" w:type="dxa"/>
            <w:bottom w:w="0" w:type="dxa"/>
          </w:tblCellMar>
        </w:tblPrEx>
        <w:trPr>
          <w:jc w:val="center"/>
        </w:trPr>
        <w:tc>
          <w:tcPr>
            <w:tcW w:w="3227" w:type="dxa"/>
          </w:tcPr>
          <w:p w:rsidR="00000000" w:rsidRDefault="00752DFD">
            <w:pPr>
              <w:spacing w:before="120" w:after="40" w:line="312" w:lineRule="auto"/>
              <w:jc w:val="both"/>
              <w:rPr>
                <w:sz w:val="28"/>
              </w:rPr>
            </w:pPr>
            <w:r>
              <w:rPr>
                <w:rFonts w:ascii="Times New Roman" w:hAnsi="Times New Roman" w:eastAsia="Times New Roman" w:cs="Times New Roman"/>
                <w:sz w:val="28"/>
              </w:rPr>
              <w:t>Cấp trung học phổ thông</w:t>
            </w:r>
          </w:p>
        </w:tc>
        <w:tc>
          <w:tcPr>
            <w:tcW w:w="2551" w:type="dxa"/>
          </w:tcPr>
          <w:p w:rsidR="00000000" w:rsidRDefault="00752DFD">
            <w:pPr>
              <w:spacing w:before="120" w:after="40" w:line="312" w:lineRule="auto"/>
              <w:ind w:right="884"/>
              <w:jc w:val="right"/>
              <w:rPr>
                <w:sz w:val="28"/>
              </w:rPr>
            </w:pPr>
            <w:r>
              <w:rPr>
                <w:sz w:val="28"/>
              </w:rPr>
              <w:t>24,4</w:t>
            </w:r>
          </w:p>
        </w:tc>
        <w:tc>
          <w:tcPr>
            <w:tcW w:w="2551" w:type="dxa"/>
          </w:tcPr>
          <w:p w:rsidR="00000000" w:rsidRDefault="00752DFD">
            <w:pPr>
              <w:spacing w:before="120" w:after="40" w:line="312" w:lineRule="auto"/>
              <w:ind w:right="884"/>
              <w:jc w:val="right"/>
              <w:rPr>
                <w:sz w:val="28"/>
              </w:rPr>
            </w:pPr>
            <w:r>
              <w:rPr>
                <w:sz w:val="28"/>
              </w:rPr>
              <w:t>609</w:t>
            </w:r>
          </w:p>
        </w:tc>
      </w:tr>
    </w:tbl>
    <w:p w:rsidR="00000000" w:rsidRDefault="00752DFD">
      <w:pPr>
        <w:spacing w:before="40" w:after="40" w:line="312" w:lineRule="auto"/>
        <w:ind w:firstLine="567"/>
        <w:jc w:val="both"/>
        <w:rPr>
          <w:sz w:val="28"/>
        </w:rPr>
      </w:pPr>
    </w:p>
    <w:p w:rsidR="00000000" w:rsidRDefault="00752DFD">
      <w:pPr>
        <w:spacing w:before="40" w:after="40" w:line="312" w:lineRule="auto"/>
        <w:ind w:firstLine="567"/>
        <w:jc w:val="both"/>
        <w:rPr>
          <w:b/>
          <w:sz w:val="28"/>
        </w:rPr>
      </w:pPr>
      <w:r>
        <w:rPr>
          <w:rFonts w:ascii="Times New Roman" w:hAnsi="Times New Roman" w:eastAsia="Times New Roman" w:cs="Times New Roman"/>
          <w:b/>
          <w:sz w:val="28"/>
        </w:rPr>
        <w:t>4. Tai nạn giao thông</w:t>
      </w:r>
    </w:p>
    <w:p w:rsidR="00000000" w:rsidRDefault="00752DFD">
      <w:pPr>
        <w:pStyle w:val="BodyText"/>
        <w:spacing w:line="336" w:lineRule="auto"/>
        <w:ind w:firstLine="567"/>
        <w:rPr>
          <w:sz w:val="2"/>
          <w:lang w:val="en-GB"/>
        </w:rPr>
      </w:pPr>
    </w:p>
    <w:p w:rsidR="00000000" w:rsidRDefault="00752DFD">
      <w:pPr>
        <w:pStyle w:val="BodyText"/>
        <w:spacing w:line="336" w:lineRule="auto"/>
        <w:ind w:firstLine="567"/>
        <w:rPr>
          <w:lang w:val="en-GB"/>
        </w:rPr>
      </w:pPr>
      <w:r>
        <w:rPr>
          <w:rFonts w:ascii="Times New Roman" w:hAnsi="Times New Roman" w:eastAsia="Times New Roman" w:cs="Times New Roman"/>
          <w:lang w:val="en-GB"/>
        </w:rPr>
        <w:t>Theo số liệu của Uỷ ban an toàn giao thông quốc gia, 4 tháng đầu năm 2001 cả nước đã xảy ra 8377 vụ tai nạn giao thông, tăng 302 vụ so với cùng kỳ năm trước, trong đó tai nạn giao thông</w:t>
      </w:r>
      <w:r>
        <w:rPr>
          <w:rFonts w:ascii="Times New Roman" w:hAnsi="Times New Roman" w:eastAsia="Times New Roman" w:cs="Times New Roman"/>
          <w:lang w:val="en-GB"/>
        </w:rPr>
        <w:t xml:space="preserve"> đường bộ 8129 vụ, chiếm 97%; đường sắt 125 vụ, chiếm 1,5% và  đường thuỷ 123 vụ, chiếm 1,5%. Từ đầu năm đến hết tháng 4 năm 2001, tai nạn giao thông đã làm 9594 người bị thương, tăng 8,3% và 3419 người bị chết, tăng 31% so cùng kỳ năm trước, trong đó số n</w:t>
      </w:r>
      <w:r>
        <w:rPr>
          <w:rFonts w:ascii="Times New Roman" w:hAnsi="Times New Roman" w:eastAsia="Times New Roman" w:cs="Times New Roman"/>
          <w:lang w:val="en-GB"/>
        </w:rPr>
        <w:t>gười bị thương do tai nạn giao thông đường bộ tăng 8,3%, đường sắt tăng 13,1%, đường thủy tăng 20,8%, số người chết do tai nạn giao thông đường bộ tăng 32,4%, đường sắt tăng 30,7 %, đường thủy tăng 2,5%.</w:t>
      </w:r>
    </w:p>
    <w:p w:rsidR="00000000" w:rsidRDefault="00752DFD">
      <w:pPr>
        <w:pStyle w:val="Footer"/>
        <w:tabs>
          <w:tab w:val="clear" w:pos="4320"/>
          <w:tab w:val="clear" w:pos="8640"/>
        </w:tabs>
      </w:pPr>
    </w:p>
    <w:p w:rsidR="00000000" w:rsidRDefault="00752DFD">
      <w:pPr>
        <w:ind w:firstLine="6237"/>
        <w:jc w:val="center"/>
        <w:rPr>
          <w:rFonts w:ascii=".VnTimeH" w:hAnsi=".VnTimeH"/>
          <w:b/>
        </w:rPr>
      </w:pPr>
    </w:p>
    <w:p w:rsidR="00000000" w:rsidRDefault="00752DFD">
      <w:pPr>
        <w:ind w:firstLine="6237"/>
        <w:jc w:val="center"/>
        <w:rPr>
          <w:rFonts w:ascii=".VnTimeH" w:hAnsi=".VnTimeH"/>
          <w:b/>
        </w:rPr>
      </w:pPr>
      <w:r>
        <w:rPr>
          <w:rFonts w:ascii="Times New Roman" w:hAnsi="Times New Roman" w:eastAsia="Times New Roman" w:cs="Times New Roman"/>
          <w:b/>
        </w:rPr>
        <w:t>Q. Tổng cục trưởng</w:t>
      </w:r>
    </w:p>
    <w:p w:rsidR="00000000" w:rsidRDefault="00752DFD">
      <w:pPr>
        <w:ind w:firstLine="6237"/>
        <w:jc w:val="center"/>
        <w:rPr>
          <w:rFonts w:ascii=".VnTimeH" w:hAnsi=".VnTimeH"/>
          <w:b/>
        </w:rPr>
      </w:pPr>
      <w:r>
        <w:rPr>
          <w:rFonts w:ascii="Times New Roman" w:hAnsi="Times New Roman" w:eastAsia="Times New Roman" w:cs="Times New Roman"/>
          <w:b/>
        </w:rPr>
        <w:t>Tổng cục thống kê</w:t>
      </w:r>
    </w:p>
    <w:p w:rsidR="00000000" w:rsidRDefault="00752DFD">
      <w:pPr>
        <w:ind w:firstLine="6237"/>
        <w:jc w:val="center"/>
        <w:rPr>
          <w:rFonts w:ascii=".VnTimeH" w:hAnsi=".VnTimeH"/>
          <w:b/>
          <w:sz w:val="24"/>
        </w:rPr>
      </w:pPr>
    </w:p>
    <w:p w:rsidR="00000000" w:rsidRDefault="00752DFD">
      <w:pPr>
        <w:ind w:firstLine="6237"/>
        <w:jc w:val="center"/>
        <w:rPr>
          <w:b/>
          <w:sz w:val="30"/>
        </w:rPr>
      </w:pPr>
    </w:p>
    <w:p w:rsidR="00000000" w:rsidRDefault="00752DFD">
      <w:pPr>
        <w:ind w:firstLine="6237"/>
        <w:jc w:val="center"/>
        <w:rPr>
          <w:b/>
          <w:sz w:val="30"/>
        </w:rPr>
      </w:pPr>
    </w:p>
    <w:p w:rsidR="00000000" w:rsidRDefault="00752DFD">
      <w:pPr>
        <w:ind w:firstLine="6237"/>
        <w:jc w:val="center"/>
        <w:rPr>
          <w:b/>
          <w:sz w:val="30"/>
        </w:rPr>
      </w:pPr>
    </w:p>
    <w:p w:rsidR="00000000" w:rsidRDefault="00752DFD">
      <w:pPr>
        <w:ind w:firstLine="6237"/>
        <w:rPr>
          <w:b/>
          <w:sz w:val="30"/>
        </w:rPr>
      </w:pPr>
    </w:p>
    <w:p w:rsidR="00000000" w:rsidRDefault="00752DFD">
      <w:pPr>
        <w:ind w:firstLine="7088"/>
        <w:rPr>
          <w:b/>
          <w:sz w:val="24"/>
        </w:rPr>
      </w:pPr>
      <w:r>
        <w:rPr>
          <w:rFonts w:ascii="Times New Roman" w:hAnsi="Times New Roman" w:eastAsia="Times New Roman" w:cs="Times New Roman"/>
          <w:b/>
          <w:sz w:val="30"/>
        </w:rPr>
        <w:t xml:space="preserve">Lê Mạnh </w:t>
      </w:r>
      <w:r>
        <w:rPr>
          <w:rFonts w:ascii="Times New Roman" w:hAnsi="Times New Roman" w:eastAsia="Times New Roman" w:cs="Times New Roman"/>
          <w:b/>
          <w:sz w:val="30"/>
        </w:rPr>
        <w:t>Hùng</w:t>
      </w:r>
    </w:p>
    <w:sectPr w:rsidR="00000000">
      <w:footerReference w:type="even" r:id="rId7"/>
      <w:footerReference w:type="default" r:id="rId8"/>
      <w:headerReference w:type="default" r:id="rId11"/>
      <w:pgSz w:w="12240" w:h="15840"/>
      <w:pgMar w:top="964" w:right="1327" w:bottom="964" w:left="170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752DFD">
      <w:r>
        <w:separator/>
      </w:r>
    </w:p>
  </w:endnote>
  <w:endnote w:type="continuationSeparator" w:id="0">
    <w:p w:rsidR="00000000" w:rsidRDefault="00752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752D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752D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752DFD">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3</w:t>
    </w:r>
    <w:r>
      <w:rPr>
        <w:rStyle w:val="PageNumber"/>
        <w:rFonts w:ascii=".VnArial" w:hAnsi=".VnArial"/>
        <w:sz w:val="22"/>
      </w:rPr>
      <w:fldChar w:fldCharType="end"/>
    </w:r>
  </w:p>
  <w:p w:rsidR="00000000" w:rsidRDefault="00752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752DFD">
      <w:r>
        <w:separator/>
      </w:r>
    </w:p>
  </w:footnote>
  <w:footnote w:type="continuationSeparator" w:id="0">
    <w:p w:rsidR="00000000" w:rsidRDefault="00752DF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34634"/>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F752704"/>
    <w:multiLevelType w:val="multilevel"/>
    <w:tmpl w:val="14CA124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14053121"/>
    <w:multiLevelType w:val="singleLevel"/>
    <w:tmpl w:val="554CA6F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47B5421"/>
    <w:multiLevelType w:val="singleLevel"/>
    <w:tmpl w:val="6D0E15FA"/>
    <w:lvl w:ilvl="0">
      <w:numFmt w:val="bullet"/>
      <w:lvlText w:val="-"/>
      <w:lvlJc w:val="left"/>
      <w:pPr>
        <w:tabs>
          <w:tab w:val="num" w:pos="927"/>
        </w:tabs>
        <w:ind w:left="927" w:hanging="360"/>
      </w:pPr>
      <w:rPr>
        <w:rFonts w:ascii="Times New Roman" w:hAnsi="Times New Roman" w:hint="default"/>
        <w:b/>
      </w:rPr>
    </w:lvl>
  </w:abstractNum>
  <w:abstractNum w:abstractNumId="4" w15:restartNumberingAfterBreak="0">
    <w:nsid w:val="1574299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17F66BF2"/>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A1677F6"/>
    <w:multiLevelType w:val="singleLevel"/>
    <w:tmpl w:val="D6900114"/>
    <w:lvl w:ilvl="0">
      <w:start w:val="5"/>
      <w:numFmt w:val="decimal"/>
      <w:lvlText w:val="%1.2-"/>
      <w:lvlJc w:val="left"/>
      <w:pPr>
        <w:tabs>
          <w:tab w:val="num" w:pos="720"/>
        </w:tabs>
        <w:ind w:left="360" w:hanging="360"/>
      </w:pPr>
      <w:rPr>
        <w:b w:val="0"/>
        <w:i/>
        <w:sz w:val="28"/>
      </w:rPr>
    </w:lvl>
  </w:abstractNum>
  <w:abstractNum w:abstractNumId="7" w15:restartNumberingAfterBreak="0">
    <w:nsid w:val="20EE00B3"/>
    <w:multiLevelType w:val="singleLevel"/>
    <w:tmpl w:val="7A185FC4"/>
    <w:lvl w:ilvl="0">
      <w:start w:val="4"/>
      <w:numFmt w:val="decimal"/>
      <w:lvlText w:val="%1.2-"/>
      <w:lvlJc w:val="left"/>
      <w:pPr>
        <w:tabs>
          <w:tab w:val="num" w:pos="720"/>
        </w:tabs>
        <w:ind w:left="360" w:hanging="360"/>
      </w:pPr>
      <w:rPr>
        <w:b w:val="0"/>
        <w:i/>
        <w:sz w:val="28"/>
      </w:rPr>
    </w:lvl>
  </w:abstractNum>
  <w:abstractNum w:abstractNumId="8" w15:restartNumberingAfterBreak="0">
    <w:nsid w:val="2A193E98"/>
    <w:multiLevelType w:val="singleLevel"/>
    <w:tmpl w:val="3FC6EBC2"/>
    <w:lvl w:ilvl="0">
      <w:start w:val="2"/>
      <w:numFmt w:val="bullet"/>
      <w:lvlText w:val="-"/>
      <w:lvlJc w:val="left"/>
      <w:pPr>
        <w:tabs>
          <w:tab w:val="num" w:pos="585"/>
        </w:tabs>
        <w:ind w:left="585" w:hanging="360"/>
      </w:pPr>
      <w:rPr>
        <w:rFonts w:ascii="Times New Roman" w:hAnsi="Times New Roman" w:hint="default"/>
      </w:rPr>
    </w:lvl>
  </w:abstractNum>
  <w:abstractNum w:abstractNumId="9" w15:restartNumberingAfterBreak="0">
    <w:nsid w:val="2A703328"/>
    <w:multiLevelType w:val="singleLevel"/>
    <w:tmpl w:val="6810AC52"/>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2BB56909"/>
    <w:multiLevelType w:val="multilevel"/>
    <w:tmpl w:val="7E807950"/>
    <w:lvl w:ilvl="0">
      <w:start w:val="1"/>
      <w:numFmt w:val="decimal"/>
      <w:lvlText w:val="%1. 3-"/>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FD6576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1636CE2"/>
    <w:multiLevelType w:val="singleLevel"/>
    <w:tmpl w:val="37EA5716"/>
    <w:lvl w:ilvl="0">
      <w:start w:val="3"/>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31816C9C"/>
    <w:multiLevelType w:val="singleLevel"/>
    <w:tmpl w:val="A4B41D78"/>
    <w:lvl w:ilvl="0">
      <w:start w:val="5"/>
      <w:numFmt w:val="decimal"/>
      <w:lvlText w:val="%1.1-"/>
      <w:lvlJc w:val="left"/>
      <w:pPr>
        <w:tabs>
          <w:tab w:val="num" w:pos="720"/>
        </w:tabs>
        <w:ind w:left="360" w:hanging="360"/>
      </w:pPr>
      <w:rPr>
        <w:b w:val="0"/>
        <w:i/>
        <w:sz w:val="28"/>
      </w:rPr>
    </w:lvl>
  </w:abstractNum>
  <w:abstractNum w:abstractNumId="14" w15:restartNumberingAfterBreak="0">
    <w:nsid w:val="36E237B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38717AC1"/>
    <w:multiLevelType w:val="singleLevel"/>
    <w:tmpl w:val="32CC1F94"/>
    <w:lvl w:ilvl="0">
      <w:numFmt w:val="bullet"/>
      <w:lvlText w:val="-"/>
      <w:lvlJc w:val="left"/>
      <w:pPr>
        <w:tabs>
          <w:tab w:val="num" w:pos="927"/>
        </w:tabs>
        <w:ind w:left="927" w:hanging="360"/>
      </w:pPr>
      <w:rPr>
        <w:rFonts w:ascii="Times New Roman" w:hAnsi="Times New Roman" w:hint="default"/>
        <w:b/>
      </w:rPr>
    </w:lvl>
  </w:abstractNum>
  <w:abstractNum w:abstractNumId="16" w15:restartNumberingAfterBreak="0">
    <w:nsid w:val="38F55B86"/>
    <w:multiLevelType w:val="singleLevel"/>
    <w:tmpl w:val="E1B0A722"/>
    <w:lvl w:ilvl="0">
      <w:start w:val="3"/>
      <w:numFmt w:val="decimal"/>
      <w:lvlText w:val="%13-"/>
      <w:lvlJc w:val="left"/>
      <w:pPr>
        <w:tabs>
          <w:tab w:val="num" w:pos="720"/>
        </w:tabs>
        <w:ind w:left="360" w:hanging="360"/>
      </w:pPr>
      <w:rPr>
        <w:b w:val="0"/>
        <w:i/>
        <w:sz w:val="28"/>
      </w:rPr>
    </w:lvl>
  </w:abstractNum>
  <w:abstractNum w:abstractNumId="17" w15:restartNumberingAfterBreak="0">
    <w:nsid w:val="3D5A6074"/>
    <w:multiLevelType w:val="singleLevel"/>
    <w:tmpl w:val="FC8C1100"/>
    <w:lvl w:ilvl="0">
      <w:start w:val="1"/>
      <w:numFmt w:val="decimal"/>
      <w:lvlText w:val="%1."/>
      <w:lvlJc w:val="left"/>
      <w:pPr>
        <w:tabs>
          <w:tab w:val="num" w:pos="927"/>
        </w:tabs>
        <w:ind w:left="927" w:hanging="360"/>
      </w:pPr>
      <w:rPr>
        <w:rFonts w:hint="default"/>
      </w:rPr>
    </w:lvl>
  </w:abstractNum>
  <w:abstractNum w:abstractNumId="18" w15:restartNumberingAfterBreak="0">
    <w:nsid w:val="3F1D7B5C"/>
    <w:multiLevelType w:val="singleLevel"/>
    <w:tmpl w:val="A75265EA"/>
    <w:lvl w:ilvl="0">
      <w:start w:val="5"/>
      <w:numFmt w:val="decimal"/>
      <w:lvlText w:val="%1.3-"/>
      <w:lvlJc w:val="left"/>
      <w:pPr>
        <w:tabs>
          <w:tab w:val="num" w:pos="720"/>
        </w:tabs>
        <w:ind w:left="360" w:hanging="360"/>
      </w:pPr>
      <w:rPr>
        <w:b w:val="0"/>
        <w:i/>
        <w:sz w:val="28"/>
      </w:rPr>
    </w:lvl>
  </w:abstractNum>
  <w:abstractNum w:abstractNumId="19" w15:restartNumberingAfterBreak="0">
    <w:nsid w:val="41E22E40"/>
    <w:multiLevelType w:val="singleLevel"/>
    <w:tmpl w:val="5E1CD900"/>
    <w:lvl w:ilvl="0">
      <w:start w:val="2"/>
      <w:numFmt w:val="decimal"/>
      <w:lvlText w:val="%1.1-"/>
      <w:lvlJc w:val="left"/>
      <w:pPr>
        <w:tabs>
          <w:tab w:val="num" w:pos="720"/>
        </w:tabs>
        <w:ind w:left="360" w:hanging="360"/>
      </w:pPr>
      <w:rPr>
        <w:b w:val="0"/>
        <w:i/>
        <w:sz w:val="28"/>
      </w:rPr>
    </w:lvl>
  </w:abstractNum>
  <w:abstractNum w:abstractNumId="20" w15:restartNumberingAfterBreak="0">
    <w:nsid w:val="44BD4CA4"/>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45E76DDD"/>
    <w:multiLevelType w:val="singleLevel"/>
    <w:tmpl w:val="0290A74C"/>
    <w:lvl w:ilvl="0">
      <w:start w:val="1"/>
      <w:numFmt w:val="decimal"/>
      <w:lvlText w:val="%1."/>
      <w:lvlJc w:val="left"/>
      <w:pPr>
        <w:tabs>
          <w:tab w:val="num" w:pos="927"/>
        </w:tabs>
        <w:ind w:left="927" w:hanging="360"/>
      </w:pPr>
      <w:rPr>
        <w:rFonts w:hint="default"/>
      </w:rPr>
    </w:lvl>
  </w:abstractNum>
  <w:abstractNum w:abstractNumId="22" w15:restartNumberingAfterBreak="0">
    <w:nsid w:val="48A2245A"/>
    <w:multiLevelType w:val="singleLevel"/>
    <w:tmpl w:val="88B4EE48"/>
    <w:lvl w:ilvl="0">
      <w:start w:val="11"/>
      <w:numFmt w:val="decimal"/>
      <w:lvlText w:val="%1."/>
      <w:lvlJc w:val="left"/>
      <w:pPr>
        <w:tabs>
          <w:tab w:val="num" w:pos="1245"/>
        </w:tabs>
        <w:ind w:left="1245" w:hanging="525"/>
      </w:pPr>
      <w:rPr>
        <w:rFonts w:hint="default"/>
        <w:i/>
      </w:rPr>
    </w:lvl>
  </w:abstractNum>
  <w:abstractNum w:abstractNumId="23" w15:restartNumberingAfterBreak="0">
    <w:nsid w:val="4914507C"/>
    <w:multiLevelType w:val="singleLevel"/>
    <w:tmpl w:val="CC9C0C36"/>
    <w:lvl w:ilvl="0">
      <w:start w:val="4"/>
      <w:numFmt w:val="bullet"/>
      <w:lvlText w:val="-"/>
      <w:lvlJc w:val="left"/>
      <w:pPr>
        <w:tabs>
          <w:tab w:val="num" w:pos="900"/>
        </w:tabs>
        <w:ind w:left="900" w:hanging="360"/>
      </w:pPr>
      <w:rPr>
        <w:rFonts w:ascii="Times New Roman" w:hAnsi="Times New Roman" w:hint="default"/>
      </w:rPr>
    </w:lvl>
  </w:abstractNum>
  <w:abstractNum w:abstractNumId="24" w15:restartNumberingAfterBreak="0">
    <w:nsid w:val="49905A54"/>
    <w:multiLevelType w:val="singleLevel"/>
    <w:tmpl w:val="0B8E8FE0"/>
    <w:lvl w:ilvl="0">
      <w:start w:val="1"/>
      <w:numFmt w:val="upperRoman"/>
      <w:lvlText w:val="%1."/>
      <w:lvlJc w:val="left"/>
      <w:pPr>
        <w:tabs>
          <w:tab w:val="num" w:pos="1440"/>
        </w:tabs>
        <w:ind w:left="1440" w:hanging="720"/>
      </w:pPr>
      <w:rPr>
        <w:rFonts w:hint="default"/>
      </w:rPr>
    </w:lvl>
  </w:abstractNum>
  <w:abstractNum w:abstractNumId="25" w15:restartNumberingAfterBreak="0">
    <w:nsid w:val="4B4555AB"/>
    <w:multiLevelType w:val="singleLevel"/>
    <w:tmpl w:val="9D14B7D8"/>
    <w:lvl w:ilvl="0">
      <w:start w:val="1"/>
      <w:numFmt w:val="upperLetter"/>
      <w:lvlText w:val="%1."/>
      <w:lvlJc w:val="left"/>
      <w:pPr>
        <w:tabs>
          <w:tab w:val="num" w:pos="927"/>
        </w:tabs>
        <w:ind w:left="927" w:hanging="360"/>
      </w:pPr>
      <w:rPr>
        <w:rFonts w:hint="default"/>
      </w:rPr>
    </w:lvl>
  </w:abstractNum>
  <w:abstractNum w:abstractNumId="26" w15:restartNumberingAfterBreak="0">
    <w:nsid w:val="54080FA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27" w15:restartNumberingAfterBreak="0">
    <w:nsid w:val="55015D82"/>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556C5FF4"/>
    <w:multiLevelType w:val="singleLevel"/>
    <w:tmpl w:val="BBB23CE2"/>
    <w:lvl w:ilvl="0">
      <w:start w:val="1"/>
      <w:numFmt w:val="upperRoman"/>
      <w:lvlText w:val="%1."/>
      <w:lvlJc w:val="left"/>
      <w:pPr>
        <w:tabs>
          <w:tab w:val="num" w:pos="4122"/>
        </w:tabs>
        <w:ind w:left="4122" w:hanging="720"/>
      </w:pPr>
      <w:rPr>
        <w:rFonts w:hint="default"/>
      </w:rPr>
    </w:lvl>
  </w:abstractNum>
  <w:abstractNum w:abstractNumId="29" w15:restartNumberingAfterBreak="0">
    <w:nsid w:val="55DA55E5"/>
    <w:multiLevelType w:val="singleLevel"/>
    <w:tmpl w:val="0B8EC81C"/>
    <w:lvl w:ilvl="0">
      <w:start w:val="1"/>
      <w:numFmt w:val="upperRoman"/>
      <w:lvlText w:val="%1."/>
      <w:lvlJc w:val="left"/>
      <w:pPr>
        <w:tabs>
          <w:tab w:val="num" w:pos="1440"/>
        </w:tabs>
        <w:ind w:left="1440" w:hanging="720"/>
      </w:pPr>
      <w:rPr>
        <w:rFonts w:hint="default"/>
      </w:rPr>
    </w:lvl>
  </w:abstractNum>
  <w:abstractNum w:abstractNumId="30" w15:restartNumberingAfterBreak="0">
    <w:nsid w:val="56DF7457"/>
    <w:multiLevelType w:val="multilevel"/>
    <w:tmpl w:val="81E220E0"/>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B3E358A"/>
    <w:multiLevelType w:val="singleLevel"/>
    <w:tmpl w:val="3D207ABA"/>
    <w:lvl w:ilvl="0">
      <w:start w:val="4"/>
      <w:numFmt w:val="decimal"/>
      <w:lvlText w:val="%1.3-"/>
      <w:lvlJc w:val="left"/>
      <w:pPr>
        <w:tabs>
          <w:tab w:val="num" w:pos="720"/>
        </w:tabs>
        <w:ind w:left="360" w:hanging="360"/>
      </w:pPr>
      <w:rPr>
        <w:b w:val="0"/>
        <w:i/>
        <w:sz w:val="28"/>
      </w:rPr>
    </w:lvl>
  </w:abstractNum>
  <w:abstractNum w:abstractNumId="32" w15:restartNumberingAfterBreak="0">
    <w:nsid w:val="5DAD76CD"/>
    <w:multiLevelType w:val="multilevel"/>
    <w:tmpl w:val="EF3A0708"/>
    <w:lvl w:ilvl="0">
      <w:start w:val="1"/>
      <w:numFmt w:val="decimal"/>
      <w:lvlText w:val="%1. 1-"/>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2720D9E"/>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68263DBF"/>
    <w:multiLevelType w:val="singleLevel"/>
    <w:tmpl w:val="2482DC06"/>
    <w:lvl w:ilvl="0">
      <w:start w:val="4"/>
      <w:numFmt w:val="decimal"/>
      <w:lvlText w:val="%1.1-"/>
      <w:lvlJc w:val="left"/>
      <w:pPr>
        <w:tabs>
          <w:tab w:val="num" w:pos="720"/>
        </w:tabs>
        <w:ind w:left="360" w:hanging="360"/>
      </w:pPr>
      <w:rPr>
        <w:b w:val="0"/>
        <w:i/>
        <w:sz w:val="28"/>
      </w:rPr>
    </w:lvl>
  </w:abstractNum>
  <w:abstractNum w:abstractNumId="35" w15:restartNumberingAfterBreak="0">
    <w:nsid w:val="68A01D43"/>
    <w:multiLevelType w:val="singleLevel"/>
    <w:tmpl w:val="B48E6220"/>
    <w:lvl w:ilvl="0">
      <w:start w:val="3"/>
      <w:numFmt w:val="decimal"/>
      <w:lvlText w:val="%1.1-"/>
      <w:lvlJc w:val="left"/>
      <w:pPr>
        <w:tabs>
          <w:tab w:val="num" w:pos="720"/>
        </w:tabs>
        <w:ind w:left="360" w:hanging="360"/>
      </w:pPr>
      <w:rPr>
        <w:b w:val="0"/>
        <w:i/>
        <w:sz w:val="28"/>
      </w:rPr>
    </w:lvl>
  </w:abstractNum>
  <w:abstractNum w:abstractNumId="36" w15:restartNumberingAfterBreak="0">
    <w:nsid w:val="6AFC251C"/>
    <w:multiLevelType w:val="singleLevel"/>
    <w:tmpl w:val="0BA05A50"/>
    <w:lvl w:ilvl="0">
      <w:start w:val="4"/>
      <w:numFmt w:val="decimal"/>
      <w:lvlText w:val="%1."/>
      <w:lvlJc w:val="left"/>
      <w:pPr>
        <w:tabs>
          <w:tab w:val="num" w:pos="360"/>
        </w:tabs>
        <w:ind w:left="360" w:hanging="360"/>
      </w:pPr>
    </w:lvl>
  </w:abstractNum>
  <w:abstractNum w:abstractNumId="37" w15:restartNumberingAfterBreak="0">
    <w:nsid w:val="6C1B0F4A"/>
    <w:multiLevelType w:val="singleLevel"/>
    <w:tmpl w:val="9B00F3C2"/>
    <w:lvl w:ilvl="0">
      <w:start w:val="1"/>
      <w:numFmt w:val="decimal"/>
      <w:lvlText w:val="%1."/>
      <w:lvlJc w:val="left"/>
      <w:pPr>
        <w:tabs>
          <w:tab w:val="num" w:pos="1080"/>
        </w:tabs>
        <w:ind w:left="1080" w:hanging="360"/>
      </w:pPr>
      <w:rPr>
        <w:rFonts w:hint="default"/>
      </w:rPr>
    </w:lvl>
  </w:abstractNum>
  <w:abstractNum w:abstractNumId="38" w15:restartNumberingAfterBreak="0">
    <w:nsid w:val="6C401125"/>
    <w:multiLevelType w:val="singleLevel"/>
    <w:tmpl w:val="E110A9BE"/>
    <w:lvl w:ilvl="0">
      <w:start w:val="2"/>
      <w:numFmt w:val="bullet"/>
      <w:lvlText w:val="-"/>
      <w:lvlJc w:val="left"/>
      <w:pPr>
        <w:tabs>
          <w:tab w:val="num" w:pos="360"/>
        </w:tabs>
        <w:ind w:left="360" w:hanging="360"/>
      </w:pPr>
      <w:rPr>
        <w:rFonts w:ascii="Times New Roman" w:hAnsi="Times New Roman" w:hint="default"/>
      </w:rPr>
    </w:lvl>
  </w:abstractNum>
  <w:abstractNum w:abstractNumId="39" w15:restartNumberingAfterBreak="0">
    <w:nsid w:val="6F6E1EBA"/>
    <w:multiLevelType w:val="singleLevel"/>
    <w:tmpl w:val="0409000F"/>
    <w:lvl w:ilvl="0">
      <w:start w:val="1"/>
      <w:numFmt w:val="decimal"/>
      <w:lvlText w:val="%1."/>
      <w:lvlJc w:val="left"/>
      <w:pPr>
        <w:tabs>
          <w:tab w:val="num" w:pos="360"/>
        </w:tabs>
        <w:ind w:left="360" w:hanging="360"/>
      </w:pPr>
      <w:rPr>
        <w:rFonts w:hint="default"/>
      </w:rPr>
    </w:lvl>
  </w:abstractNum>
  <w:abstractNum w:abstractNumId="40" w15:restartNumberingAfterBreak="0">
    <w:nsid w:val="70232F2F"/>
    <w:multiLevelType w:val="singleLevel"/>
    <w:tmpl w:val="17706C68"/>
    <w:lvl w:ilvl="0">
      <w:start w:val="1"/>
      <w:numFmt w:val="decimal"/>
      <w:lvlText w:val="%1-"/>
      <w:lvlJc w:val="left"/>
      <w:pPr>
        <w:tabs>
          <w:tab w:val="num" w:pos="360"/>
        </w:tabs>
        <w:ind w:left="360" w:hanging="360"/>
      </w:pPr>
      <w:rPr>
        <w:b w:val="0"/>
        <w:i/>
        <w:sz w:val="28"/>
      </w:rPr>
    </w:lvl>
  </w:abstractNum>
  <w:abstractNum w:abstractNumId="41" w15:restartNumberingAfterBreak="0">
    <w:nsid w:val="71243A85"/>
    <w:multiLevelType w:val="singleLevel"/>
    <w:tmpl w:val="8CD2C2DE"/>
    <w:lvl w:ilvl="0">
      <w:start w:val="1"/>
      <w:numFmt w:val="upperRoman"/>
      <w:lvlText w:val="%1-"/>
      <w:lvlJc w:val="left"/>
      <w:pPr>
        <w:tabs>
          <w:tab w:val="num" w:pos="1440"/>
        </w:tabs>
        <w:ind w:left="1440" w:hanging="720"/>
      </w:pPr>
      <w:rPr>
        <w:rFonts w:hint="default"/>
      </w:rPr>
    </w:lvl>
  </w:abstractNum>
  <w:abstractNum w:abstractNumId="42" w15:restartNumberingAfterBreak="0">
    <w:nsid w:val="71AE66DA"/>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3" w15:restartNumberingAfterBreak="0">
    <w:nsid w:val="72D17C63"/>
    <w:multiLevelType w:val="multilevel"/>
    <w:tmpl w:val="0EE0EA44"/>
    <w:lvl w:ilvl="0">
      <w:start w:val="1"/>
      <w:numFmt w:val="decimal"/>
      <w:lvlText w:val="%1. 2-"/>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3141DFF"/>
    <w:multiLevelType w:val="multilevel"/>
    <w:tmpl w:val="18FCD79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5" w15:restartNumberingAfterBreak="0">
    <w:nsid w:val="757C6F52"/>
    <w:multiLevelType w:val="singleLevel"/>
    <w:tmpl w:val="BDE21192"/>
    <w:lvl w:ilvl="0">
      <w:start w:val="1"/>
      <w:numFmt w:val="decimal"/>
      <w:lvlText w:val="%1."/>
      <w:lvlJc w:val="left"/>
      <w:pPr>
        <w:tabs>
          <w:tab w:val="num" w:pos="927"/>
        </w:tabs>
        <w:ind w:left="927" w:hanging="360"/>
      </w:pPr>
      <w:rPr>
        <w:rFonts w:hint="default"/>
      </w:rPr>
    </w:lvl>
  </w:abstractNum>
  <w:abstractNum w:abstractNumId="46" w15:restartNumberingAfterBreak="0">
    <w:nsid w:val="762C51C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7" w15:restartNumberingAfterBreak="0">
    <w:nsid w:val="785409EF"/>
    <w:multiLevelType w:val="singleLevel"/>
    <w:tmpl w:val="A4B668E6"/>
    <w:lvl w:ilvl="0">
      <w:start w:val="1"/>
      <w:numFmt w:val="upperRoman"/>
      <w:lvlText w:val="%1."/>
      <w:lvlJc w:val="left"/>
      <w:pPr>
        <w:tabs>
          <w:tab w:val="num" w:pos="1287"/>
        </w:tabs>
        <w:ind w:left="1287" w:hanging="720"/>
      </w:pPr>
      <w:rPr>
        <w:rFonts w:hint="default"/>
      </w:rPr>
    </w:lvl>
  </w:abstractNum>
  <w:abstractNum w:abstractNumId="48" w15:restartNumberingAfterBreak="0">
    <w:nsid w:val="792D0AF5"/>
    <w:multiLevelType w:val="multilevel"/>
    <w:tmpl w:val="3BAE141A"/>
    <w:lvl w:ilvl="0">
      <w:start w:val="3"/>
      <w:numFmt w:val="decimal"/>
      <w:lvlText w:val="%1.1-"/>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9" w15:restartNumberingAfterBreak="0">
    <w:nsid w:val="7F792629"/>
    <w:multiLevelType w:val="singleLevel"/>
    <w:tmpl w:val="5014652A"/>
    <w:lvl w:ilvl="0">
      <w:start w:val="4"/>
      <w:numFmt w:val="bullet"/>
      <w:lvlText w:val="-"/>
      <w:lvlJc w:val="left"/>
      <w:pPr>
        <w:tabs>
          <w:tab w:val="num" w:pos="360"/>
        </w:tabs>
        <w:ind w:left="360" w:hanging="360"/>
      </w:pPr>
      <w:rPr>
        <w:rFonts w:ascii="Times New Roman" w:hAnsi="Times New Roman" w:hint="default"/>
      </w:rPr>
    </w:lvl>
  </w:abstractNum>
  <w:num w:numId="1">
    <w:abstractNumId w:val="24"/>
  </w:num>
  <w:num w:numId="2">
    <w:abstractNumId w:val="37"/>
  </w:num>
  <w:num w:numId="3">
    <w:abstractNumId w:val="29"/>
  </w:num>
  <w:num w:numId="4">
    <w:abstractNumId w:val="49"/>
  </w:num>
  <w:num w:numId="5">
    <w:abstractNumId w:val="9"/>
  </w:num>
  <w:num w:numId="6">
    <w:abstractNumId w:val="23"/>
  </w:num>
  <w:num w:numId="7">
    <w:abstractNumId w:val="8"/>
  </w:num>
  <w:num w:numId="8">
    <w:abstractNumId w:val="11"/>
  </w:num>
  <w:num w:numId="9">
    <w:abstractNumId w:val="33"/>
  </w:num>
  <w:num w:numId="10">
    <w:abstractNumId w:val="5"/>
  </w:num>
  <w:num w:numId="11">
    <w:abstractNumId w:val="42"/>
  </w:num>
  <w:num w:numId="12">
    <w:abstractNumId w:val="4"/>
  </w:num>
  <w:num w:numId="13">
    <w:abstractNumId w:val="46"/>
  </w:num>
  <w:num w:numId="14">
    <w:abstractNumId w:val="26"/>
  </w:num>
  <w:num w:numId="15">
    <w:abstractNumId w:val="14"/>
  </w:num>
  <w:num w:numId="16">
    <w:abstractNumId w:val="3"/>
  </w:num>
  <w:num w:numId="17">
    <w:abstractNumId w:val="15"/>
  </w:num>
  <w:num w:numId="18">
    <w:abstractNumId w:val="47"/>
  </w:num>
  <w:num w:numId="19">
    <w:abstractNumId w:val="0"/>
  </w:num>
  <w:num w:numId="20">
    <w:abstractNumId w:val="39"/>
  </w:num>
  <w:num w:numId="21">
    <w:abstractNumId w:val="38"/>
  </w:num>
  <w:num w:numId="22">
    <w:abstractNumId w:val="41"/>
  </w:num>
  <w:num w:numId="23">
    <w:abstractNumId w:val="40"/>
  </w:num>
  <w:num w:numId="24">
    <w:abstractNumId w:val="19"/>
  </w:num>
  <w:num w:numId="25">
    <w:abstractNumId w:val="48"/>
  </w:num>
  <w:num w:numId="26">
    <w:abstractNumId w:val="36"/>
  </w:num>
  <w:num w:numId="27">
    <w:abstractNumId w:val="13"/>
  </w:num>
  <w:num w:numId="28">
    <w:abstractNumId w:val="6"/>
  </w:num>
  <w:num w:numId="29">
    <w:abstractNumId w:val="16"/>
  </w:num>
  <w:num w:numId="30">
    <w:abstractNumId w:val="35"/>
  </w:num>
  <w:num w:numId="31">
    <w:abstractNumId w:val="18"/>
  </w:num>
  <w:num w:numId="32">
    <w:abstractNumId w:val="30"/>
  </w:num>
  <w:num w:numId="33">
    <w:abstractNumId w:val="1"/>
  </w:num>
  <w:num w:numId="34">
    <w:abstractNumId w:val="44"/>
  </w:num>
  <w:num w:numId="35">
    <w:abstractNumId w:val="27"/>
  </w:num>
  <w:num w:numId="36">
    <w:abstractNumId w:val="20"/>
  </w:num>
  <w:num w:numId="37">
    <w:abstractNumId w:val="32"/>
  </w:num>
  <w:num w:numId="38">
    <w:abstractNumId w:val="22"/>
  </w:num>
  <w:num w:numId="39">
    <w:abstractNumId w:val="43"/>
  </w:num>
  <w:num w:numId="40">
    <w:abstractNumId w:val="10"/>
  </w:num>
  <w:num w:numId="41">
    <w:abstractNumId w:val="34"/>
  </w:num>
  <w:num w:numId="42">
    <w:abstractNumId w:val="7"/>
  </w:num>
  <w:num w:numId="43">
    <w:abstractNumId w:val="31"/>
  </w:num>
  <w:num w:numId="44">
    <w:abstractNumId w:val="2"/>
  </w:num>
  <w:num w:numId="45">
    <w:abstractNumId w:val="28"/>
  </w:num>
  <w:num w:numId="46">
    <w:abstractNumId w:val="21"/>
  </w:num>
  <w:num w:numId="47">
    <w:abstractNumId w:val="25"/>
  </w:num>
  <w:num w:numId="48">
    <w:abstractNumId w:val="17"/>
  </w:num>
  <w:num w:numId="49">
    <w:abstractNumId w:val="45"/>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DFD"/>
    <w:rsid w:val="00752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74C835E7-A624-40FB-8D53-D4784700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5\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2064</Words>
  <Characters>11765</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2001-05-25T07:19:00Z</cp:lastPrinted>
  <dcterms:created xsi:type="dcterms:W3CDTF">2026-08-11T08:19:00Z</dcterms:created>
  <dcterms:modified xsi:type="dcterms:W3CDTF">2026-08-11T08:19:00Z</dcterms:modified>
</cp:coreProperties>
</file>