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898"/>
      </w:tblGrid>
      <w:tr w:rsidR="00000000" w14:paraId="2389BFA2" w14:textId="77777777">
        <w:tblPrEx>
          <w:tblCellMar>
            <w:top w:w="0" w:type="dxa"/>
            <w:bottom w:w="0" w:type="dxa"/>
          </w:tblCellMar>
        </w:tblPrEx>
        <w:tc>
          <w:tcPr>
            <w:tcW w:w="3960" w:type="dxa"/>
          </w:tcPr>
          <w:p w14:paraId="7DB978AA" w14:textId="77777777" w:rsidR="00000000" w:rsidRDefault="00E91E9C">
            <w:pPr>
              <w:rPr>
                <w:sz w:val="26"/>
              </w:rPr>
            </w:pPr>
            <w:r>
              <w:rPr>
                <w:rFonts w:ascii="Times New Roman" w:hAnsi="Times New Roman" w:eastAsia="Times New Roman" w:cs="Times New Roman"/>
                <w:sz w:val="26"/>
              </w:rPr>
              <w:t>Tổng cục thống kê</w:t>
            </w:r>
            <w:r>
              <w:rPr>
                <w:sz w:val="26"/>
              </w:rPr>
              <w:t xml:space="preserve"> </w:t>
            </w:r>
          </w:p>
          <w:p w14:paraId="4F56FD6E" w14:textId="77777777" w:rsidR="00000000" w:rsidRDefault="00E91E9C">
            <w:pPr>
              <w:jc w:val="both"/>
              <w:rPr>
                <w:rFonts w:ascii=".VnTimeH" w:hAnsi=".VnTimeH"/>
                <w:sz w:val="26"/>
              </w:rPr>
            </w:pPr>
            <w:r>
              <w:rPr>
                <w:rFonts w:ascii="Times New Roman" w:hAnsi="Times New Roman" w:eastAsia="Times New Roman" w:cs="Times New Roman"/>
                <w:sz w:val="26"/>
              </w:rPr>
              <w:t>Số:  04/tctk-th</w:t>
            </w:r>
          </w:p>
        </w:tc>
        <w:tc>
          <w:tcPr>
            <w:tcW w:w="5898" w:type="dxa"/>
          </w:tcPr>
          <w:p w14:paraId="57453F8C" w14:textId="77777777" w:rsidR="00000000" w:rsidRDefault="00E91E9C">
            <w:pPr>
              <w:jc w:val="center"/>
              <w:rPr>
                <w:rFonts w:ascii=".VnTimeH" w:hAnsi=".VnTimeH"/>
                <w:sz w:val="26"/>
              </w:rPr>
            </w:pPr>
            <w:r>
              <w:rPr>
                <w:rFonts w:ascii="Times New Roman" w:hAnsi="Times New Roman" w:eastAsia="Times New Roman" w:cs="Times New Roman"/>
                <w:sz w:val="26"/>
              </w:rPr>
              <w:t>Cộng hoà xã hội chủ nghĩa Việt Nam</w:t>
            </w:r>
          </w:p>
          <w:p w14:paraId="16A3CEDB" w14:textId="77777777" w:rsidR="00000000" w:rsidRDefault="00E91E9C">
            <w:pPr>
              <w:jc w:val="center"/>
              <w:rPr>
                <w:sz w:val="26"/>
              </w:rPr>
            </w:pPr>
            <w:r>
              <w:rPr>
                <w:rFonts w:ascii="Times New Roman" w:hAnsi="Times New Roman" w:eastAsia="Times New Roman" w:cs="Times New Roman"/>
              </w:rPr>
              <w:t>Độc lập-Tự do-Hạnh phúc</w:t>
            </w:r>
          </w:p>
          <w:p w14:paraId="254357BD" w14:textId="77777777" w:rsidR="00000000" w:rsidRDefault="00E91E9C">
            <w:pPr>
              <w:jc w:val="center"/>
              <w:rPr>
                <w:rFonts w:ascii=".VnTimeH" w:hAnsi=".VnTimeH"/>
                <w:sz w:val="26"/>
              </w:rPr>
            </w:pPr>
            <w:r>
              <w:rPr>
                <w:sz w:val="26"/>
              </w:rPr>
              <w:t>-----</w:t>
            </w:r>
            <w:r>
              <w:rPr>
                <w:sz w:val="26"/>
              </w:rPr>
              <w:sym w:font="Wingdings" w:char="F098"/>
            </w:r>
            <w:r>
              <w:rPr>
                <w:sz w:val="26"/>
              </w:rPr>
              <w:t>0</w:t>
            </w:r>
            <w:r>
              <w:rPr>
                <w:sz w:val="26"/>
              </w:rPr>
              <w:sym w:font="Wingdings" w:char="F099"/>
            </w:r>
            <w:r>
              <w:rPr>
                <w:sz w:val="26"/>
              </w:rPr>
              <w:t>-----</w:t>
            </w:r>
          </w:p>
        </w:tc>
      </w:tr>
    </w:tbl>
    <w:p w14:paraId="768978C0" w14:textId="77777777" w:rsidR="00000000" w:rsidRDefault="00E91E9C">
      <w:pPr>
        <w:spacing w:before="120"/>
        <w:jc w:val="right"/>
        <w:rPr>
          <w:b/>
          <w:i/>
          <w:sz w:val="20"/>
        </w:rPr>
      </w:pPr>
    </w:p>
    <w:p w14:paraId="12EA41DB" w14:textId="77777777" w:rsidR="00000000" w:rsidRDefault="00E91E9C">
      <w:pPr>
        <w:jc w:val="right"/>
        <w:rPr>
          <w:b/>
          <w:i/>
        </w:rPr>
      </w:pPr>
      <w:r>
        <w:rPr>
          <w:rFonts w:ascii="Times New Roman" w:hAnsi="Times New Roman" w:eastAsia="Times New Roman" w:cs="Times New Roman"/>
          <w:b/>
          <w:i/>
        </w:rPr>
        <w:t>Hà Nội ngày 25 tháng 2 năm 2002</w:t>
      </w:r>
    </w:p>
    <w:p w14:paraId="3FED3BCF" w14:textId="77777777" w:rsidR="00000000" w:rsidRDefault="00E91E9C">
      <w:pPr>
        <w:rPr>
          <w:sz w:val="36"/>
        </w:rPr>
      </w:pPr>
    </w:p>
    <w:p w14:paraId="0B1C5875" w14:textId="77777777" w:rsidR="00000000" w:rsidRDefault="00E91E9C">
      <w:pPr>
        <w:jc w:val="center"/>
        <w:rPr>
          <w:rFonts w:ascii=".VnArialH" w:hAnsi=".VnArialH"/>
          <w:b/>
          <w:sz w:val="10"/>
        </w:rPr>
      </w:pPr>
      <w:r>
        <w:rPr>
          <w:rFonts w:ascii=".VnArialH" w:hAnsi=".VnArialH"/>
          <w:b/>
          <w:sz w:val="14"/>
        </w:rPr>
        <w:softHyphen/>
      </w:r>
    </w:p>
    <w:p w14:paraId="597A3554" w14:textId="77777777" w:rsidR="00000000" w:rsidRDefault="00E91E9C">
      <w:pPr>
        <w:jc w:val="center"/>
        <w:rPr>
          <w:rFonts w:ascii=".VnArialH" w:hAnsi=".VnArialH"/>
          <w:b/>
          <w:sz w:val="36"/>
        </w:rPr>
      </w:pPr>
      <w:r>
        <w:rPr>
          <w:rFonts w:ascii="Times New Roman" w:hAnsi="Times New Roman" w:eastAsia="Times New Roman" w:cs="Times New Roman"/>
          <w:b/>
          <w:sz w:val="36"/>
        </w:rPr>
        <w:t>Tình hình kinh tế-xã hội</w:t>
      </w:r>
    </w:p>
    <w:p w14:paraId="405CB387" w14:textId="77777777" w:rsidR="00000000" w:rsidRDefault="00E91E9C">
      <w:pPr>
        <w:jc w:val="center"/>
      </w:pPr>
      <w:r>
        <w:rPr>
          <w:rFonts w:ascii="Times New Roman" w:hAnsi="Times New Roman" w:eastAsia="Times New Roman" w:cs="Times New Roman"/>
          <w:b/>
          <w:sz w:val="36"/>
        </w:rPr>
        <w:t>tháng 2 và 2 tháng đầu năm 2002</w:t>
      </w:r>
    </w:p>
    <w:p w14:paraId="3F601DFB" w14:textId="77777777" w:rsidR="00000000" w:rsidRDefault="00E91E9C">
      <w:pPr>
        <w:pStyle w:val="Header"/>
        <w:tabs>
          <w:tab w:val="clear" w:pos="4320"/>
          <w:tab w:val="clear" w:pos="8640"/>
        </w:tabs>
        <w:rPr>
          <w:sz w:val="24"/>
        </w:rPr>
      </w:pPr>
    </w:p>
    <w:p w14:paraId="656AFB26" w14:textId="77777777" w:rsidR="00000000" w:rsidRDefault="00E91E9C">
      <w:pPr>
        <w:spacing w:before="60" w:after="60" w:line="300" w:lineRule="auto"/>
        <w:ind w:firstLine="567"/>
        <w:jc w:val="both"/>
        <w:rPr>
          <w:sz w:val="24"/>
        </w:rPr>
      </w:pPr>
    </w:p>
    <w:p w14:paraId="5431E042" w14:textId="77777777" w:rsidR="00000000" w:rsidRDefault="00E91E9C">
      <w:pPr>
        <w:spacing w:before="60" w:after="60" w:line="312" w:lineRule="auto"/>
        <w:ind w:firstLine="567"/>
        <w:jc w:val="both"/>
        <w:rPr>
          <w:b/>
        </w:rPr>
      </w:pPr>
      <w:r>
        <w:rPr>
          <w:rFonts w:ascii="Times New Roman" w:hAnsi="Times New Roman" w:eastAsia="Times New Roman" w:cs="Times New Roman"/>
          <w:b/>
          <w:sz w:val="30"/>
        </w:rPr>
        <w:t>1. Sản xuất nông nghiệp.</w:t>
      </w:r>
    </w:p>
    <w:p w14:paraId="18751CB2" w14:textId="77777777" w:rsidR="00000000" w:rsidRDefault="00E91E9C">
      <w:pPr>
        <w:pStyle w:val="BodyTextIndent"/>
        <w:spacing w:line="305" w:lineRule="auto"/>
      </w:pPr>
      <w:r>
        <w:rPr>
          <w:rFonts w:ascii="Times New Roman" w:hAnsi="Times New Roman" w:eastAsia="Times New Roman" w:cs="Times New Roman"/>
        </w:rPr>
        <w:t>Tính đến 15/02/2002 cả nước</w:t>
      </w:r>
      <w:r>
        <w:rPr>
          <w:rFonts w:ascii="Times New Roman" w:hAnsi="Times New Roman" w:eastAsia="Times New Roman" w:cs="Times New Roman"/>
        </w:rPr>
        <w:t xml:space="preserve"> đã gieo cấy được 2440,6 nghìn ha lúa đông xuân, bằng 93,8% cùng kỳ năm trước, trong đó các địa phương phía Bắc đạt 582 nghìn ha, bằng 77,8%, các địa phương phía Nam đã kết thúc với 1858,6 nghìn ha, bằng 100,2%.</w:t>
      </w:r>
    </w:p>
    <w:p w14:paraId="5FDA8E89" w14:textId="77777777" w:rsidR="00000000" w:rsidRDefault="00E91E9C">
      <w:pPr>
        <w:spacing w:before="60" w:after="60" w:line="305" w:lineRule="auto"/>
        <w:ind w:firstLine="567"/>
        <w:jc w:val="both"/>
      </w:pPr>
      <w:r>
        <w:rPr>
          <w:rFonts w:ascii="Times New Roman" w:hAnsi="Times New Roman" w:eastAsia="Times New Roman" w:cs="Times New Roman"/>
        </w:rPr>
        <w:t xml:space="preserve"> Cùng với việc gieo cấy lúa đông xuân, đến t</w:t>
      </w:r>
      <w:r>
        <w:rPr>
          <w:rFonts w:ascii="Times New Roman" w:hAnsi="Times New Roman" w:eastAsia="Times New Roman" w:cs="Times New Roman"/>
        </w:rPr>
        <w:t>rung tuần tháng 2 các địa phương phía Nam còn thu hoạch được 286,6 nghìn ha lúa đông xuân sớm, bằng 84% cùng kỳ năm trước và chiếm 15% diện tích đã xuống giống, tập trung chủ yếu ở các tỉnh đồng bằng sông Cửu Long (Sóc Trăng 101 nghìn ha; Kiên Giang 78 ngh</w:t>
      </w:r>
      <w:r>
        <w:rPr>
          <w:rFonts w:ascii="Times New Roman" w:hAnsi="Times New Roman" w:eastAsia="Times New Roman" w:cs="Times New Roman"/>
        </w:rPr>
        <w:t>ìn ha và Long An 54 nghìn ha). Trên diện tích đã thu hoạch nhìn chung đạt năng suất khá (Long An 45 tạ/ha; Đồng Tháp 60 tạ/ha). Giá lúa ở đồng bằng sông Cửu Long hiện nay đứng ở mức cao, phổ biến 1700-1800 đồng/kg đang khuyến khích nông dân đẩy mạnh việc c</w:t>
      </w:r>
      <w:r>
        <w:rPr>
          <w:rFonts w:ascii="Times New Roman" w:hAnsi="Times New Roman" w:eastAsia="Times New Roman" w:cs="Times New Roman"/>
        </w:rPr>
        <w:t>hăm sóc và thu hoạch lúa đông xuân.</w:t>
      </w:r>
    </w:p>
    <w:p w14:paraId="5E9B0E9C" w14:textId="77777777" w:rsidR="00000000" w:rsidRDefault="00E91E9C">
      <w:pPr>
        <w:pStyle w:val="BodyTextIndent"/>
        <w:spacing w:line="305" w:lineRule="auto"/>
      </w:pPr>
      <w:r>
        <w:rPr>
          <w:rFonts w:ascii="Times New Roman" w:hAnsi="Times New Roman" w:eastAsia="Times New Roman" w:cs="Times New Roman"/>
        </w:rPr>
        <w:t>Gieo trồng các cây vụ đông khác và cây công nghiệp ngắn ngày đạt mức cùng kỳ năm trước, trong đó ngô 182,3 nghìn ha, bằng 101,1%; khoai lang 137,2 nghìn ha, bằng 87,8%; lạc 94,7 nghìn ha, bằng 96%; đậu tương 33,6 nghìn h</w:t>
      </w:r>
      <w:r>
        <w:rPr>
          <w:rFonts w:ascii="Times New Roman" w:hAnsi="Times New Roman" w:eastAsia="Times New Roman" w:cs="Times New Roman"/>
        </w:rPr>
        <w:t>a, bằng 110,2%; thuốc lá 14,7 nghìn ha, bằng 102,1% và rau đậu 231,9 nghìn ha, bằng 109,9%.</w:t>
      </w:r>
    </w:p>
    <w:p w14:paraId="7D8C65A3" w14:textId="77777777" w:rsidR="00000000" w:rsidRDefault="00E91E9C">
      <w:pPr>
        <w:pStyle w:val="BodyTextIndent"/>
        <w:spacing w:line="300" w:lineRule="auto"/>
        <w:rPr>
          <w:spacing w:val="-2"/>
        </w:rPr>
      </w:pPr>
      <w:r>
        <w:rPr>
          <w:rFonts w:ascii="Times New Roman" w:hAnsi="Times New Roman" w:eastAsia="Times New Roman" w:cs="Times New Roman"/>
          <w:b/>
          <w:sz w:val="30"/>
        </w:rPr>
        <w:t>2. Sản xuất công nghiệp.</w:t>
      </w:r>
    </w:p>
    <w:p w14:paraId="0E241ECC" w14:textId="77777777" w:rsidR="00000000" w:rsidRDefault="00E91E9C">
      <w:pPr>
        <w:spacing w:before="60" w:after="60" w:line="300" w:lineRule="auto"/>
        <w:ind w:firstLine="567"/>
        <w:jc w:val="both"/>
      </w:pPr>
      <w:r>
        <w:rPr>
          <w:rFonts w:ascii="Times New Roman" w:hAnsi="Times New Roman" w:eastAsia="Times New Roman" w:cs="Times New Roman"/>
        </w:rPr>
        <w:t>Sản xuất công nghiệp tháng 2/2002 giảm 16% so với tháng trước và tăng 1,5% so với tháng 2 năm trước. Các chỉ tiêu tương ứng của khu vực doa</w:t>
      </w:r>
      <w:r>
        <w:rPr>
          <w:rFonts w:ascii="Times New Roman" w:hAnsi="Times New Roman" w:eastAsia="Times New Roman" w:cs="Times New Roman"/>
        </w:rPr>
        <w:t xml:space="preserve">nh nghiệp Nhà nước là giảm 18,5% và giảm 5,3%; khu vực ngoài quốc doanh giảm 16,6% và tăng 9,8%; khu vực có vốn đầu tư nước ngoài giảm 12% và tăng 4,9%. </w:t>
      </w:r>
    </w:p>
    <w:p w14:paraId="1ABE1FE6" w14:textId="77777777" w:rsidR="00000000" w:rsidRDefault="00E91E9C">
      <w:pPr>
        <w:pStyle w:val="BodyTextIndent"/>
        <w:spacing w:line="300" w:lineRule="auto"/>
        <w:rPr>
          <w:spacing w:val="0"/>
        </w:rPr>
      </w:pPr>
      <w:r>
        <w:rPr>
          <w:rFonts w:ascii="Times New Roman" w:hAnsi="Times New Roman" w:eastAsia="Times New Roman" w:cs="Times New Roman"/>
          <w:spacing w:val="0"/>
        </w:rPr>
        <w:t xml:space="preserve">Mặc dù ảnh hưởng Tết, nhưng một số sản phẩm công nghiệp tháng này vẫn có mức sản xuất tăng khá so với </w:t>
      </w:r>
      <w:r>
        <w:rPr>
          <w:rFonts w:ascii="Times New Roman" w:hAnsi="Times New Roman" w:eastAsia="Times New Roman" w:cs="Times New Roman"/>
          <w:spacing w:val="0"/>
        </w:rPr>
        <w:t>cùng kỳ năm trước như: Bột ngọt tăng 15,4%; vải lụa tăng 5,4%; quần áo may sẵn tăng 3,9%; thép cán tăng 5,3%; ô tô lắp ráp tăng 6,9%; xe máy lắp ráp tăng 15,9%... Xe máy tháng này lắp ráp và tiêu thụ được 39745 chiếc, tăng 5456 chiếc so với cùng kỳ năm trư</w:t>
      </w:r>
      <w:r>
        <w:rPr>
          <w:rFonts w:ascii="Times New Roman" w:hAnsi="Times New Roman" w:eastAsia="Times New Roman" w:cs="Times New Roman"/>
          <w:spacing w:val="0"/>
        </w:rPr>
        <w:t>ớc chủ yếu là do các doanh nghiệp sản xuất, lắp ráp xe máy đã đưa ra thị trường một số loại xe mới phù hợp với thị hiếu và khả năng mua sắm của nhiều đối tượng sử dụng nên dễ dàng tiêu thụ được ở thị trường trong nước, cạnh tranh được với các loại xe máy n</w:t>
      </w:r>
      <w:r>
        <w:rPr>
          <w:rFonts w:ascii="Times New Roman" w:hAnsi="Times New Roman" w:eastAsia="Times New Roman" w:cs="Times New Roman"/>
          <w:spacing w:val="0"/>
        </w:rPr>
        <w:t xml:space="preserve">hập ngoại. Ngoài ra, một số sản phẩm trong năm 2001 sản xuất cầm chừng do khó khăn trong khâu tiêu thụ (Đặc biệt là thị trường xuất khẩu) thì nay đã sản xuất, tiêu thụ và xuất khẩu ổn định, tăng trưởng cao như: Than sạch tăng 10,6%; thủy sản chế biến tăng </w:t>
      </w:r>
      <w:r>
        <w:rPr>
          <w:rFonts w:ascii="Times New Roman" w:hAnsi="Times New Roman" w:eastAsia="Times New Roman" w:cs="Times New Roman"/>
          <w:spacing w:val="0"/>
        </w:rPr>
        <w:t>17%. Một số sản phẩm sản xuất trong tháng 2/2002 giảm so với cùng kỳ năm trước chủ yếu do số ngày nghỉ Tết không sản xuất hoặc nhu cầu sau Tết giảm. Riêng khai thác dầu thô vẫn tiếp tục giảm do chủ trương hạn chế khai thác và tiết kiệm tài nguyên khi giá d</w:t>
      </w:r>
      <w:r>
        <w:rPr>
          <w:rFonts w:ascii="Times New Roman" w:hAnsi="Times New Roman" w:eastAsia="Times New Roman" w:cs="Times New Roman"/>
          <w:spacing w:val="0"/>
        </w:rPr>
        <w:t>ầu thế giới xuống thấp.</w:t>
      </w:r>
    </w:p>
    <w:p w14:paraId="0ADA7F58" w14:textId="77777777" w:rsidR="00000000" w:rsidRDefault="00E91E9C">
      <w:pPr>
        <w:spacing w:before="60" w:after="60" w:line="300" w:lineRule="auto"/>
        <w:ind w:firstLine="567"/>
        <w:jc w:val="both"/>
      </w:pPr>
      <w:r>
        <w:rPr>
          <w:rFonts w:ascii="Times New Roman" w:hAnsi="Times New Roman" w:eastAsia="Times New Roman" w:cs="Times New Roman"/>
        </w:rPr>
        <w:t xml:space="preserve">Tính chung, sản xuất công nghiệp 2 tháng đầu năm đạt mức tăng trưởng 14,3% so với cùng kỳ năm trước, trong đó khu vực doanh nghiệp Nhà nước tăng 11,6%; ngoài quốc doanh tăng 22,8% và khu vực có vốn đầu tư nước ngoài tăng 12,1%. </w:t>
      </w:r>
    </w:p>
    <w:p w14:paraId="7B53FCB3" w14:textId="77777777" w:rsidR="00000000" w:rsidRDefault="00E91E9C">
      <w:pPr>
        <w:spacing w:before="60" w:after="60" w:line="300" w:lineRule="auto"/>
        <w:ind w:firstLine="567"/>
        <w:jc w:val="both"/>
        <w:rPr>
          <w:spacing w:val="-4"/>
        </w:rPr>
      </w:pPr>
      <w:r>
        <w:t>Ngu</w:t>
      </w:r>
      <w:r>
        <w:rPr>
          <w:rFonts w:ascii="Times New Roman" w:hAnsi="Times New Roman" w:eastAsia="Times New Roman" w:cs="Times New Roman"/>
        </w:rPr>
        <w:t>yên nhân chủ yếu tác động đến sản xuất công nghiệp 2 tháng đầu năm tăng trưởng khá là do nhiều mặt hàng phục vụ Tết Nguyên đán năm nay được các doanh nghiệp cải tiến mẫu mã, nâng cao chất lượng sản phẩm, đủ sức cạnh tranh được với các mặt hàng nhập ngoại n</w:t>
      </w:r>
      <w:r>
        <w:rPr>
          <w:rFonts w:ascii="Times New Roman" w:hAnsi="Times New Roman" w:eastAsia="Times New Roman" w:cs="Times New Roman"/>
        </w:rPr>
        <w:t>hư: Vải lụa, hàng may mặc, bánh kẹo, rau quả hộp, rượu, bia, nước giải khát, thuốc lá, giày dép các loại,... Một số mặt hàng do xuất khẩu và kích cầu đầu tư đã thúc đẩy sản xuất tăng cao như: Khai thác than tăng 26,1%; thuỷ sản chế biến tăng 27,8%; xi măng</w:t>
      </w:r>
      <w:r>
        <w:rPr>
          <w:rFonts w:ascii="Times New Roman" w:hAnsi="Times New Roman" w:eastAsia="Times New Roman" w:cs="Times New Roman"/>
        </w:rPr>
        <w:t xml:space="preserve"> tăng 20,5%; gạch lát tăng 26,7%; sứ vệ sinh tăng 21,2%; gạch xây tăng 15,5%; thép tăng 25,2%... Những mặt hàng gia dụng và sản phẩm thay thế nhập khẩu có giá trị lớn vẫn tiếp tục tăng cao như: Ô tô lắp ráp tăng 29,1%; xe máy lắp ráp tăng 24,5%; xe đạp tăn</w:t>
      </w:r>
      <w:r>
        <w:rPr>
          <w:rFonts w:ascii="Times New Roman" w:hAnsi="Times New Roman" w:eastAsia="Times New Roman" w:cs="Times New Roman"/>
        </w:rPr>
        <w:t xml:space="preserve">g 26,3%; quạt điện dân dụng tăng </w:t>
      </w:r>
      <w:r>
        <w:rPr>
          <w:rFonts w:ascii="Times New Roman" w:hAnsi="Times New Roman" w:eastAsia="Times New Roman" w:cs="Times New Roman"/>
          <w:spacing w:val="-4"/>
        </w:rPr>
        <w:t>30,4%; bột giặt tăng 15,5%... Một số sản phẩm trước đây sản xuất và tiêu thụ khó khăn thì nay sản xuất, tiêu thụ, xuất khẩu ổn định và tăng trở lại như: Động cơ điêzen tăng 97%; động cơ điện tăng 12,9%; máy biến thế tăng 61</w:t>
      </w:r>
      <w:r>
        <w:rPr>
          <w:rFonts w:ascii="Times New Roman" w:hAnsi="Times New Roman" w:eastAsia="Times New Roman" w:cs="Times New Roman"/>
          <w:spacing w:val="-4"/>
        </w:rPr>
        <w:t>%; máy công cụ tăng 72,7%...</w:t>
      </w:r>
    </w:p>
    <w:p w14:paraId="601265E6" w14:textId="77777777" w:rsidR="00000000" w:rsidRDefault="00E91E9C">
      <w:pPr>
        <w:pStyle w:val="BodyTextIndent"/>
        <w:spacing w:line="300" w:lineRule="auto"/>
        <w:rPr>
          <w:spacing w:val="0"/>
        </w:rPr>
      </w:pPr>
      <w:r>
        <w:rPr>
          <w:rFonts w:ascii="Times New Roman" w:hAnsi="Times New Roman" w:eastAsia="Times New Roman" w:cs="Times New Roman"/>
          <w:spacing w:val="0"/>
        </w:rPr>
        <w:t xml:space="preserve">Ngoài ra, do kết quả của chính sách phát triển các thành phần kinh tế tư nhân mà trực tiếp là tác động tích cực của luật doanh nghiệp đã khuyến khích kịp thời các loại hình doanh nghiệp ngoài quốc doanh hoạt động và phát triển </w:t>
      </w:r>
      <w:r>
        <w:rPr>
          <w:rFonts w:ascii="Times New Roman" w:hAnsi="Times New Roman" w:eastAsia="Times New Roman" w:cs="Times New Roman"/>
          <w:spacing w:val="0"/>
        </w:rPr>
        <w:t>nhanh có hiệu quả. Hàng nghìn doanh nghiệp vừa và nhỏ, linh hoạt trong sản xuất kinh doanh được thành lập trong những năm vừa qua đến nay đi vào sản xuất ổn định đã góp phần quyết định làm cho sản xuất của khu vực ngoài quốc doanh đạt mức tăng trưởng cao h</w:t>
      </w:r>
      <w:r>
        <w:rPr>
          <w:rFonts w:ascii="Times New Roman" w:hAnsi="Times New Roman" w:eastAsia="Times New Roman" w:cs="Times New Roman"/>
          <w:spacing w:val="0"/>
        </w:rPr>
        <w:t>ơn các khu vực khác.</w:t>
      </w:r>
    </w:p>
    <w:p w14:paraId="3CDC0099" w14:textId="77777777" w:rsidR="00000000" w:rsidRDefault="00E91E9C">
      <w:pPr>
        <w:spacing w:before="60" w:after="60" w:line="312" w:lineRule="auto"/>
        <w:ind w:firstLine="567"/>
        <w:rPr>
          <w:b/>
        </w:rPr>
      </w:pPr>
      <w:r>
        <w:rPr>
          <w:rFonts w:ascii="Times New Roman" w:hAnsi="Times New Roman" w:eastAsia="Times New Roman" w:cs="Times New Roman"/>
          <w:b/>
          <w:sz w:val="30"/>
        </w:rPr>
        <w:t>3. Đầu tư và xây dựng.</w:t>
      </w:r>
    </w:p>
    <w:p w14:paraId="5F0FB177" w14:textId="77777777" w:rsidR="00000000" w:rsidRDefault="00E91E9C">
      <w:pPr>
        <w:spacing w:before="60" w:after="60" w:line="314" w:lineRule="auto"/>
        <w:ind w:firstLine="567"/>
        <w:jc w:val="both"/>
      </w:pPr>
      <w:r>
        <w:rPr>
          <w:rFonts w:ascii="Times New Roman" w:hAnsi="Times New Roman" w:eastAsia="Times New Roman" w:cs="Times New Roman"/>
        </w:rPr>
        <w:t>Thực hiện vốn đầu tư xây dựng cơ bản tập trung thuộc vốn ngân sách Nhà nước 2 tháng đầu năm 2002 ước tính đạt 3599,7 tỷ đồng, bằng 16,7% kế hoạch năm, gấp gần 2,3 lần so với cùng kỳ năm trước, trong đó trung ương</w:t>
      </w:r>
      <w:r>
        <w:rPr>
          <w:rFonts w:ascii="Times New Roman" w:hAnsi="Times New Roman" w:eastAsia="Times New Roman" w:cs="Times New Roman"/>
        </w:rPr>
        <w:t xml:space="preserve"> quản lý 2581,2 tỷ đồng, bằng 19,7%, gấp 2,6 lần; địa phương quản lý 1018,5 tỷ đồng, bằng 12%, gấp 1,8 lần. Đến nay, tuy kế hoạch năm 2002 chưa triển khai tới cơ sở, nhưng nhiều đơn vị vẫn có việc làm vì thi công các công trình chuyển tiếp. Bộ Giao thông V</w:t>
      </w:r>
      <w:r>
        <w:rPr>
          <w:rFonts w:ascii="Times New Roman" w:hAnsi="Times New Roman" w:eastAsia="Times New Roman" w:cs="Times New Roman"/>
        </w:rPr>
        <w:t xml:space="preserve">ận tải đang đẩy mạnh tiến độ thi công các dự án trọng điểm như đường Hồ Chí  Minh, Quốc lộ 18 đoạn Nội Bài-Chí Linh, Quốc lộ 10 Quảng Ninh- Thái Bình, đường xuyên </w:t>
      </w:r>
      <w:r>
        <w:rPr>
          <w:rFonts w:ascii="Times New Roman" w:hAnsi="Times New Roman" w:eastAsia="Times New Roman" w:cs="Times New Roman"/>
        </w:rPr>
        <w:t xml:space="preserve">á, </w:t>
      </w:r>
      <w:r>
        <w:rPr>
          <w:rFonts w:ascii="Times New Roman" w:hAnsi="Times New Roman" w:eastAsia="Times New Roman" w:cs="Times New Roman"/>
        </w:rPr>
        <w:t>hầm  đèo Hải Vân. Các tỉnh, thành phố như Hà Nội, Thái Nguyên, Hải Dương, Hà Nam, Nam Định</w:t>
      </w:r>
      <w:r>
        <w:rPr>
          <w:rFonts w:ascii="Times New Roman" w:hAnsi="Times New Roman" w:eastAsia="Times New Roman" w:cs="Times New Roman"/>
        </w:rPr>
        <w:t xml:space="preserve">, Hưng Yên đang hoàn thành kế hoạch đắp đê trước mùa mưa bão. </w:t>
      </w:r>
    </w:p>
    <w:p w14:paraId="781811CC" w14:textId="77777777" w:rsidR="00000000" w:rsidRDefault="00E91E9C">
      <w:pPr>
        <w:pStyle w:val="BodyTextIndent"/>
        <w:spacing w:line="314" w:lineRule="auto"/>
        <w:rPr>
          <w:spacing w:val="0"/>
        </w:rPr>
      </w:pPr>
      <w:r>
        <w:rPr>
          <w:rFonts w:ascii="Times New Roman" w:hAnsi="Times New Roman" w:eastAsia="Times New Roman" w:cs="Times New Roman"/>
          <w:spacing w:val="0"/>
        </w:rPr>
        <w:t xml:space="preserve">Về đầu tư trực tiếp nước ngoài, từ ngày 1 tháng 1 đến ngày 20 tháng 2 năm 2002 đã cấp giấy phép cho 59 dự án  với tổng số vốn đăng ký 112,6 triệu USD, so với cùng kỳ năm trước bằng 84,3% về số </w:t>
      </w:r>
      <w:r>
        <w:rPr>
          <w:rFonts w:ascii="Times New Roman" w:hAnsi="Times New Roman" w:eastAsia="Times New Roman" w:cs="Times New Roman"/>
          <w:spacing w:val="0"/>
        </w:rPr>
        <w:t xml:space="preserve">dự án và bằng 80% về vốn đăng ký. Trong tổng số dự án được cấp giấy phép nêu trên thì 54 dự án với số vốn 105,3 triệu USD tập trung ở các tỉnh, thành phố phía Nam, còn các tỉnh và thành phố phía Bắc chỉ có 5 dự án với số vốn 7,3 triệu USD, trong đó Hà Nội </w:t>
      </w:r>
      <w:r>
        <w:rPr>
          <w:rFonts w:ascii="Times New Roman" w:hAnsi="Times New Roman" w:eastAsia="Times New Roman" w:cs="Times New Roman"/>
          <w:spacing w:val="0"/>
        </w:rPr>
        <w:t>1 dự án với số vốn 5 triệu USD; Hải Phòng 1 dự án với số vốn 0,2 triệu USD, Bắc Kạn 2 dự án với số vốn 0,9 triệu USD và Hải Dương 1 dự án với số vốn 1,2 triệu USD.</w:t>
      </w:r>
    </w:p>
    <w:p w14:paraId="4E6FAAB5" w14:textId="77777777" w:rsidR="00000000" w:rsidRDefault="00E91E9C">
      <w:pPr>
        <w:pStyle w:val="Heading2"/>
        <w:spacing w:before="60" w:after="60" w:line="314" w:lineRule="auto"/>
        <w:ind w:firstLine="567"/>
      </w:pPr>
      <w:r>
        <w:rPr>
          <w:rFonts w:ascii="Times New Roman" w:hAnsi="Times New Roman" w:eastAsia="Times New Roman" w:cs="Times New Roman"/>
          <w:sz w:val="30"/>
        </w:rPr>
        <w:t>4. Vận tải.</w:t>
      </w:r>
    </w:p>
    <w:p w14:paraId="2CF4B54D" w14:textId="77777777" w:rsidR="00000000" w:rsidRDefault="00E91E9C">
      <w:pPr>
        <w:spacing w:before="60" w:after="60" w:line="314" w:lineRule="auto"/>
        <w:ind w:firstLine="567"/>
        <w:jc w:val="both"/>
      </w:pPr>
      <w:r>
        <w:rPr>
          <w:rFonts w:ascii=".VnTimeH" w:hAnsi=".VnTimeH"/>
        </w:rPr>
        <w:t>v</w:t>
      </w:r>
      <w:r>
        <w:rPr>
          <w:rFonts w:ascii="Times New Roman" w:hAnsi="Times New Roman" w:eastAsia="Times New Roman" w:cs="Times New Roman"/>
        </w:rPr>
        <w:t>ận chuyển hành khách 2 tháng đầu năm 2002 ước tính đạt 143,8 triệu lượt hành kh</w:t>
      </w:r>
      <w:r>
        <w:rPr>
          <w:rFonts w:ascii="Times New Roman" w:hAnsi="Times New Roman" w:eastAsia="Times New Roman" w:cs="Times New Roman"/>
        </w:rPr>
        <w:t xml:space="preserve">ách và gần 5 tỷ lượt hành khách.km, so với cùng kỳ năm trước tăng 3,4% về khối lượng vận chuyển và 0,9% về khối lượng luân chuyển. Vận chuyển hàng hoá đạt trên 26,6 triệu tấn và 7,8 tỷ tấn.km, tăng 4,4% về tấn và 1,2% về tấn.km.  </w:t>
      </w:r>
    </w:p>
    <w:p w14:paraId="42DC12C1" w14:textId="77777777" w:rsidR="00000000" w:rsidRDefault="00E91E9C">
      <w:pPr>
        <w:pStyle w:val="BodyTextIndent"/>
        <w:spacing w:line="314" w:lineRule="auto"/>
        <w:rPr>
          <w:spacing w:val="4"/>
        </w:rPr>
      </w:pPr>
      <w:r>
        <w:rPr>
          <w:rFonts w:ascii="Times New Roman" w:hAnsi="Times New Roman" w:eastAsia="Times New Roman" w:cs="Times New Roman"/>
          <w:spacing w:val="4"/>
        </w:rPr>
        <w:t>Năm nay Tết Nguyên đán Nh</w:t>
      </w:r>
      <w:r>
        <w:rPr>
          <w:rFonts w:ascii="Times New Roman" w:hAnsi="Times New Roman" w:eastAsia="Times New Roman" w:cs="Times New Roman"/>
          <w:spacing w:val="4"/>
        </w:rPr>
        <w:t>âm Ngọ có nhiều ngày nghỉ nên nhu cầu đi lại và vận chuyển hàng hoá tăng nhiều so với Tết năm trước. Để phục vụ tốt nhu cầu vận chuyển trong dịp Tết Nhâm Ngọ, ngành vận tải đã triển khai và thực hiện có hiệu quả một số biện pháp như: Kết hợp với ngành thươ</w:t>
      </w:r>
      <w:r>
        <w:rPr>
          <w:rFonts w:ascii="Times New Roman" w:hAnsi="Times New Roman" w:eastAsia="Times New Roman" w:cs="Times New Roman"/>
          <w:spacing w:val="4"/>
        </w:rPr>
        <w:t>ng nghiệp đảm bảo vận chuyển đủ hàng hoá phục vụ nhân dân miền núi, vùng sâu, vùng xa; tổ chức bán vé tầu hoả từ tháng 12 năm 2001, tăng chuyến và bổ xung toa xe; tăng chuyến bay và giảm giá vé bay đêm. Tuy đã có có nhiều cố gắng trong vận chuyển hành khác</w:t>
      </w:r>
      <w:r>
        <w:rPr>
          <w:rFonts w:ascii="Times New Roman" w:hAnsi="Times New Roman" w:eastAsia="Times New Roman" w:cs="Times New Roman"/>
          <w:spacing w:val="4"/>
        </w:rPr>
        <w:t>h trước Tết, song sau Tết vẫn còn tình trạng ứ đọng khách ở ga xe lửa Hà Nội, nhất là đối với khách đi tuyến Hà Nội-Thành phố Hồ Chí Minh.</w:t>
      </w:r>
    </w:p>
    <w:p w14:paraId="0FC85068" w14:textId="77777777" w:rsidR="00000000" w:rsidRDefault="00E91E9C">
      <w:pPr>
        <w:pStyle w:val="Heading2"/>
        <w:spacing w:before="60" w:after="60" w:line="314" w:lineRule="auto"/>
        <w:ind w:firstLine="567"/>
        <w:rPr>
          <w:sz w:val="30"/>
        </w:rPr>
      </w:pPr>
      <w:r>
        <w:rPr>
          <w:rFonts w:ascii="Times New Roman" w:hAnsi="Times New Roman" w:eastAsia="Times New Roman" w:cs="Times New Roman"/>
          <w:sz w:val="30"/>
        </w:rPr>
        <w:t>5. Thương mại, Giá cả và Du lịch</w:t>
      </w:r>
    </w:p>
    <w:p w14:paraId="12C1548A" w14:textId="77777777" w:rsidR="00000000" w:rsidRDefault="00E91E9C">
      <w:pPr>
        <w:pStyle w:val="Header"/>
        <w:tabs>
          <w:tab w:val="clear" w:pos="4320"/>
          <w:tab w:val="clear" w:pos="8640"/>
        </w:tabs>
        <w:spacing w:line="120" w:lineRule="auto"/>
      </w:pPr>
    </w:p>
    <w:p w14:paraId="1DD4F2CC" w14:textId="77777777" w:rsidR="00000000" w:rsidRDefault="00E91E9C">
      <w:pPr>
        <w:spacing w:before="60" w:after="60" w:line="314" w:lineRule="auto"/>
        <w:ind w:firstLine="561"/>
        <w:jc w:val="both"/>
      </w:pPr>
      <w:r>
        <w:rPr>
          <w:rFonts w:ascii="Times New Roman" w:hAnsi="Times New Roman" w:eastAsia="Times New Roman" w:cs="Times New Roman"/>
          <w:spacing w:val="4"/>
        </w:rPr>
        <w:t>Tháng 2 năm nay trùng với Tết Nguyên đán nên hoạt động thương mại và dịch vụ  tương</w:t>
      </w:r>
      <w:r>
        <w:rPr>
          <w:rFonts w:ascii="Times New Roman" w:hAnsi="Times New Roman" w:eastAsia="Times New Roman" w:cs="Times New Roman"/>
          <w:spacing w:val="4"/>
        </w:rPr>
        <w:t xml:space="preserve"> đối nhộn nhịp; hàng hoá phục vụ nhu cầu Tết trên thị trường phong phú,</w:t>
      </w:r>
      <w:r>
        <w:rPr>
          <w:rFonts w:ascii="Times New Roman" w:hAnsi="Times New Roman" w:eastAsia="Times New Roman" w:cs="Times New Roman"/>
        </w:rPr>
        <w:t xml:space="preserve"> đáp ứng được nhu cầu tiêu dùng đa dạng của nhân dân. Tổng mức bán lẻ hàng hoá và doanh thu dịch vụ 2 tháng đầu năm 2002 ước tính đạt 45,5 nghìn tỷ đồng, </w:t>
      </w:r>
      <w:r>
        <w:rPr>
          <w:rFonts w:ascii="Times New Roman" w:hAnsi="Times New Roman" w:eastAsia="Times New Roman" w:cs="Times New Roman"/>
          <w:spacing w:val="-8"/>
        </w:rPr>
        <w:t>tăng 12,6% so với cùng kỳ năm t</w:t>
      </w:r>
      <w:r>
        <w:rPr>
          <w:rFonts w:ascii="Times New Roman" w:hAnsi="Times New Roman" w:eastAsia="Times New Roman" w:cs="Times New Roman"/>
          <w:spacing w:val="-8"/>
        </w:rPr>
        <w:t>rước, trong đó thương nghiệp Nhà nước 7,8 nghìn tỷ đồng, tăng 11,8%;</w:t>
      </w:r>
      <w:r>
        <w:rPr>
          <w:rFonts w:ascii="Times New Roman" w:hAnsi="Times New Roman" w:eastAsia="Times New Roman" w:cs="Times New Roman"/>
        </w:rPr>
        <w:t xml:space="preserve"> ngoài quốc doanh (Tập thể, tư nhân, cá thể và hỗn hợp) 36,9 nghìn tỷ đồng, tăng 13,8%; khu vực có vốn đầu tư nước ngoài 0,8 nghìn tỷ đồng, giảm 21,2%. </w:t>
      </w:r>
    </w:p>
    <w:p w14:paraId="0D734C96" w14:textId="77777777" w:rsidR="00000000" w:rsidRDefault="00E91E9C">
      <w:pPr>
        <w:spacing w:before="60" w:after="60" w:line="314" w:lineRule="auto"/>
        <w:ind w:firstLine="561"/>
        <w:jc w:val="both"/>
      </w:pPr>
      <w:r>
        <w:rPr>
          <w:rFonts w:ascii="Times New Roman" w:hAnsi="Times New Roman" w:eastAsia="Times New Roman" w:cs="Times New Roman"/>
        </w:rPr>
        <w:t>Chỉ số giá tiêu dùng tháng 2/2002 t</w:t>
      </w:r>
      <w:r>
        <w:rPr>
          <w:rFonts w:ascii="Times New Roman" w:hAnsi="Times New Roman" w:eastAsia="Times New Roman" w:cs="Times New Roman"/>
        </w:rPr>
        <w:t>ăng 2,2% so với tháng trước, trong đó nhóm lương thực, thực phẩm tăng 4% (Lương thực tăng 2,7%; thực phẩm tăng 4,6%); nhóm đồ uống, thuốc lá và nhóm văn hoá, thể thao, giải trí tăng 1,4%; phương tiện đi lại, bưu điện tăng 1%; may mặc, giày dép và mũ nón tă</w:t>
      </w:r>
      <w:r>
        <w:rPr>
          <w:rFonts w:ascii="Times New Roman" w:hAnsi="Times New Roman" w:eastAsia="Times New Roman" w:cs="Times New Roman"/>
        </w:rPr>
        <w:t>ng 0,5%; thiết bị và đồ dùng gia đình tăng 0,3%; nhóm nhà ở, vật liệu xây dựng và nhóm giáo dục tăng 0,2%; dược phẩm, y tế tăng 0,1%; đồ dùng và dịch vụ khác tăng 1,3%. Sau 2 tháng, tức là so với tháng 12/2001, chỉ số giá tiêu dùng tăng 3,3% với tất cả các</w:t>
      </w:r>
      <w:r>
        <w:rPr>
          <w:rFonts w:ascii="Times New Roman" w:hAnsi="Times New Roman" w:eastAsia="Times New Roman" w:cs="Times New Roman"/>
        </w:rPr>
        <w:t xml:space="preserve"> nhóm hàng hoá và dịch vụ chủ yếu đều tăng, trong đó nhóm lương thực, thực phẩm tăng 6%; đồ uống và thuốc lá tăng 1,8%; văn hoá, thể thao, giải trí tăng 1,6%; nhóm may mặc, giày dép, mũ nón và nhóm phương tiện đi lại, bưu điện tăng 1,1%; thiết bị và đồ dùn</w:t>
      </w:r>
      <w:r>
        <w:rPr>
          <w:rFonts w:ascii="Times New Roman" w:hAnsi="Times New Roman" w:eastAsia="Times New Roman" w:cs="Times New Roman"/>
        </w:rPr>
        <w:t xml:space="preserve">g gia đình tăng 0,7%. Chỉ số giá vàng tháng này tăng 1,5% so với tháng trước và tăng 3% so với tháng 12/2001; tương tự, chỉ số giá đô la mỹ tăng 0,2% và tăng 0,3%. </w:t>
      </w:r>
    </w:p>
    <w:p w14:paraId="1B4DCD1E" w14:textId="77777777" w:rsidR="00000000" w:rsidRDefault="00E91E9C">
      <w:pPr>
        <w:spacing w:before="60" w:after="60" w:line="314" w:lineRule="auto"/>
        <w:ind w:firstLine="561"/>
        <w:jc w:val="both"/>
      </w:pPr>
      <w:r>
        <w:rPr>
          <w:rFonts w:ascii="Times New Roman" w:hAnsi="Times New Roman" w:eastAsia="Times New Roman" w:cs="Times New Roman"/>
        </w:rPr>
        <w:t xml:space="preserve">Khách quốc tế đến nước ta 2 tháng đầu năm ước tính đạt 422,8 nghìn lượt người, bằng 100,4% </w:t>
      </w:r>
      <w:r>
        <w:rPr>
          <w:rFonts w:ascii="Times New Roman" w:hAnsi="Times New Roman" w:eastAsia="Times New Roman" w:cs="Times New Roman"/>
        </w:rPr>
        <w:t xml:space="preserve">cùng kỳ năm 2001, trong đó khách đến với mục đích du lịch 220 nghìn lượt người, bằng 98%; vì công việc 64,3 nghìn lượt người, bằng 104,5%; thăm thân nhân 89,1 nghìn lượt người, bằng 100,9% và mục đích khác 49,4 nghìn lượt người, bằng 105,1%.  </w:t>
      </w:r>
    </w:p>
    <w:p w14:paraId="12C2BB56" w14:textId="77777777" w:rsidR="00000000" w:rsidRDefault="00E91E9C">
      <w:pPr>
        <w:spacing w:before="60" w:after="60" w:line="314" w:lineRule="auto"/>
        <w:ind w:firstLine="561"/>
        <w:jc w:val="both"/>
      </w:pPr>
      <w:r>
        <w:rPr>
          <w:rFonts w:ascii="Times New Roman" w:hAnsi="Times New Roman" w:eastAsia="Times New Roman" w:cs="Times New Roman"/>
        </w:rPr>
        <w:t>Kim ngạch xu</w:t>
      </w:r>
      <w:r>
        <w:rPr>
          <w:rFonts w:ascii="Times New Roman" w:hAnsi="Times New Roman" w:eastAsia="Times New Roman" w:cs="Times New Roman"/>
        </w:rPr>
        <w:t>ất khẩu 2 tháng đầu năm 2002 ước tính đạt 2029 triệu USD, giảm 9,2% so với 2 tháng đầu năm 2001, trong đó khu vực kinh tế trong nước xuất khẩu 1121 triệu USD, giảm 3%; khu vực có vốn đầu tư nước ngoài (Kể cả dầu thô) xuất khẩu 908 triệu USD, giảm  15,8%. K</w:t>
      </w:r>
      <w:r>
        <w:rPr>
          <w:rFonts w:ascii="Times New Roman" w:hAnsi="Times New Roman" w:eastAsia="Times New Roman" w:cs="Times New Roman"/>
        </w:rPr>
        <w:t>im ngạch xuất khẩu 2 tháng đầu năm nay giảm do một số mặt hàng xuất khẩu chủ yếu của nước ta không những giá tiếp tục bị giảm mà khối lượng hàng xuất khẩu cũng thấp so với cùng kỳ năm trước. So với 2 tháng đầu năm 2001, lượng dầu thô xuất khẩu chỉ bằng 94,</w:t>
      </w:r>
      <w:r>
        <w:rPr>
          <w:rFonts w:ascii="Times New Roman" w:hAnsi="Times New Roman" w:eastAsia="Times New Roman" w:cs="Times New Roman"/>
        </w:rPr>
        <w:t xml:space="preserve">5%; gạo bằng 32,6%; cà phê bằng 88,4%; hạt tiêu bằng 46%; lạc bằng 27%; </w:t>
      </w:r>
    </w:p>
    <w:p w14:paraId="53999800" w14:textId="77777777" w:rsidR="00000000" w:rsidRDefault="00E91E9C">
      <w:pPr>
        <w:pStyle w:val="BodyTextIndent"/>
        <w:spacing w:line="348" w:lineRule="auto"/>
        <w:rPr>
          <w:spacing w:val="0"/>
        </w:rPr>
      </w:pPr>
      <w:r>
        <w:rPr>
          <w:rFonts w:ascii="Times New Roman" w:hAnsi="Times New Roman" w:eastAsia="Times New Roman" w:cs="Times New Roman"/>
          <w:spacing w:val="0"/>
        </w:rPr>
        <w:t>Kim ngạch nhập khẩu 2 tháng đầu năm ước tính đạt 2391 triệu USD, tăng 5,8% so với cùng kỳ năm trước, trong đó khu vực kinh tế trong nước nhập khẩu 1728 triệu USD, tăng 9,1%; khu vực c</w:t>
      </w:r>
      <w:r>
        <w:rPr>
          <w:rFonts w:ascii="Times New Roman" w:hAnsi="Times New Roman" w:eastAsia="Times New Roman" w:cs="Times New Roman"/>
          <w:spacing w:val="0"/>
        </w:rPr>
        <w:t xml:space="preserve">ó vốn đầu tư nước ngoài nhập khẩu 663 triệu USD, giảm 1,9%. Trong 2 tháng đầu năm nay giá trị của nhiều mặt hàng nhập khẩu đã tăng khá so với cùng kỳ năm trước: Máy móc, thiết bị, dụng cụ, phụ tùng tăng 27,7%; chất dẻo tăng 34,4%; hoá chất tăng 39,1%; sản </w:t>
      </w:r>
      <w:r>
        <w:rPr>
          <w:rFonts w:ascii="Times New Roman" w:hAnsi="Times New Roman" w:eastAsia="Times New Roman" w:cs="Times New Roman"/>
          <w:spacing w:val="0"/>
        </w:rPr>
        <w:t>phẩm hoá chất tăng 32,1%; thuốc trừ sâu tăng 42,1%; vải gấp 3 lần. Tuy nhiên, có  một số mặt hàng nhập khẩu giảm cả về lượng và giá trị so với 2 tháng đầu năm 2001 như: Xăng dầu giảm 3,7% về lượng và giảm 29,4% về giá trị; sắt thép giảm 6,3% và giảm 10,5%;</w:t>
      </w:r>
      <w:r>
        <w:rPr>
          <w:rFonts w:ascii="Times New Roman" w:hAnsi="Times New Roman" w:eastAsia="Times New Roman" w:cs="Times New Roman"/>
          <w:spacing w:val="0"/>
        </w:rPr>
        <w:t xml:space="preserve"> phân bón giảm 11,6% và giảm 14,7%. Nhập siêu 2 tháng 362 triệu USD, bằng 17,8% kim ngạch xuất khẩu, trong đó khu vực kinh tế trong nước nhập siêu 607 triệu USD; khu vực có vốn đầu tư nước ngoài xuất siêu 245 triệu USD.</w:t>
      </w:r>
    </w:p>
    <w:p w14:paraId="466915F6" w14:textId="77777777" w:rsidR="00000000" w:rsidRDefault="00E91E9C">
      <w:pPr>
        <w:pStyle w:val="BodyTextIndent"/>
        <w:spacing w:before="0" w:after="0" w:line="276" w:lineRule="auto"/>
        <w:ind w:firstLine="562"/>
      </w:pPr>
      <w:r>
        <w:t xml:space="preserve"> </w:t>
      </w:r>
    </w:p>
    <w:p w14:paraId="487C4FAA" w14:textId="77777777" w:rsidR="00000000" w:rsidRDefault="00E91E9C">
      <w:pPr>
        <w:pStyle w:val="BodyTextIndent"/>
        <w:spacing w:line="314" w:lineRule="auto"/>
        <w:rPr>
          <w:b/>
          <w:bCs/>
          <w:sz w:val="30"/>
        </w:rPr>
      </w:pPr>
      <w:r>
        <w:rPr>
          <w:rFonts w:ascii="Times New Roman" w:hAnsi="Times New Roman" w:eastAsia="Times New Roman" w:cs="Times New Roman"/>
          <w:b/>
          <w:bCs/>
          <w:sz w:val="30"/>
        </w:rPr>
        <w:t>6. Ngân sách Nhà nước.</w:t>
      </w:r>
    </w:p>
    <w:p w14:paraId="640909AB" w14:textId="77777777" w:rsidR="00000000" w:rsidRDefault="00E91E9C">
      <w:pPr>
        <w:pStyle w:val="BodyTextIndent"/>
        <w:spacing w:line="120" w:lineRule="auto"/>
        <w:rPr>
          <w:b/>
          <w:bCs/>
          <w:spacing w:val="4"/>
        </w:rPr>
      </w:pPr>
    </w:p>
    <w:p w14:paraId="49C4C7F4" w14:textId="77777777" w:rsidR="00000000" w:rsidRDefault="00E91E9C">
      <w:pPr>
        <w:pStyle w:val="BodyTextIndent"/>
        <w:spacing w:line="348" w:lineRule="auto"/>
        <w:rPr>
          <w:spacing w:val="0"/>
        </w:rPr>
      </w:pPr>
      <w:r>
        <w:rPr>
          <w:rFonts w:ascii="Times New Roman" w:hAnsi="Times New Roman" w:eastAsia="Times New Roman" w:cs="Times New Roman"/>
          <w:spacing w:val="0"/>
        </w:rPr>
        <w:t>Theo báo c</w:t>
      </w:r>
      <w:r>
        <w:rPr>
          <w:rFonts w:ascii="Times New Roman" w:hAnsi="Times New Roman" w:eastAsia="Times New Roman" w:cs="Times New Roman"/>
          <w:spacing w:val="0"/>
        </w:rPr>
        <w:t xml:space="preserve">áo của Bộ Tài chính, tổng thu ngân sách 2 tháng đầu năm ước tính đạt 15,7% dự toán cả năm và tăng 4,1% so với cùng kỳ năm trước, trong đó thu từ khu vực kinh tế Nhà nước đạt 15,1% và tăng 32,8%; thuế công thương nghiệp và dịch </w:t>
      </w:r>
      <w:r>
        <w:rPr>
          <w:rFonts w:ascii="Times New Roman" w:hAnsi="Times New Roman" w:eastAsia="Times New Roman" w:cs="Times New Roman"/>
          <w:spacing w:val="0"/>
        </w:rPr>
        <w:t>vụ ngoài quốc doanh đạt 15,1%</w:t>
      </w:r>
      <w:r>
        <w:rPr>
          <w:rFonts w:ascii="Times New Roman" w:hAnsi="Times New Roman" w:eastAsia="Times New Roman" w:cs="Times New Roman"/>
          <w:spacing w:val="0"/>
        </w:rPr>
        <w:t xml:space="preserve"> và tăng 5,5%; thu từ doanh nghiệp có vốn đầu tư nước ngoài (Không kể dầu thô) đạt 14,5% và tăng 3,9%; thu từ xuất, nhập khẩu đạt 17,7% và tăng 40,8%. Riêng thu từ dầu thô tuy đạt 16% dự toán cả năm, nhưng chỉ bằng 64,9% hai tháng đầu năm 2001.</w:t>
      </w:r>
    </w:p>
    <w:p w14:paraId="1D37A586" w14:textId="77777777" w:rsidR="00000000" w:rsidRDefault="00E91E9C">
      <w:pPr>
        <w:pStyle w:val="BodyTextIndent"/>
        <w:spacing w:line="348" w:lineRule="auto"/>
        <w:rPr>
          <w:spacing w:val="0"/>
        </w:rPr>
      </w:pPr>
      <w:r>
        <w:rPr>
          <w:rFonts w:ascii="Times New Roman" w:hAnsi="Times New Roman" w:eastAsia="Times New Roman" w:cs="Times New Roman"/>
          <w:spacing w:val="0"/>
        </w:rPr>
        <w:t>Tổng chi ng</w:t>
      </w:r>
      <w:r>
        <w:rPr>
          <w:rFonts w:ascii="Times New Roman" w:hAnsi="Times New Roman" w:eastAsia="Times New Roman" w:cs="Times New Roman"/>
          <w:spacing w:val="0"/>
        </w:rPr>
        <w:t>ân sách hai tháng ước tính đạt 13,7% dự toán cả năm và tăng 16% so với hai tháng đầu năm 2001, trong đó chi đầu tư phát triển đạt 14,8% và tăng 36,9%; chi thường xuyên đạt 15,5% và tăng 7,1%. Đáng chú ý là, hầu hết các khoản chi quan trọng đều đạt tỷ lệ kh</w:t>
      </w:r>
      <w:r>
        <w:rPr>
          <w:rFonts w:ascii="Times New Roman" w:hAnsi="Times New Roman" w:eastAsia="Times New Roman" w:cs="Times New Roman"/>
          <w:spacing w:val="0"/>
        </w:rPr>
        <w:t>á so với dự toán đầu năm và tăng tương đối cao so với cùng kỳ năm trước: Chi đầu tư xây dựng cơ bản đạt 16% và tăng 37,3%; chi sự nghiệp kinh tế đạt 16,3% và tăng 14%; chi cho giáo dục, đào tạo đạt 15,6% và tăng 7,5%; chi cho sự nghiệp y tế đạt 15,6 và tăn</w:t>
      </w:r>
      <w:r>
        <w:rPr>
          <w:rFonts w:ascii="Times New Roman" w:hAnsi="Times New Roman" w:eastAsia="Times New Roman" w:cs="Times New Roman"/>
          <w:spacing w:val="0"/>
        </w:rPr>
        <w:t xml:space="preserve">g 8,8%; chi cho văn hoá, thông tin đạt </w:t>
      </w:r>
      <w:r>
        <w:rPr>
          <w:rFonts w:ascii="Times New Roman" w:hAnsi="Times New Roman" w:eastAsia="Times New Roman" w:cs="Times New Roman"/>
        </w:rPr>
        <w:t>15,8% và tăng 7,7%. Bội chi 2 tháng bằng 6,9% tổng dự toán bội chi cả năm Quốc</w:t>
      </w:r>
      <w:r>
        <w:rPr>
          <w:rFonts w:ascii="Times New Roman" w:hAnsi="Times New Roman" w:eastAsia="Times New Roman" w:cs="Times New Roman"/>
          <w:spacing w:val="0"/>
        </w:rPr>
        <w:t xml:space="preserve"> hội cho phép và được bù đắp bằng nguồn vay trong nước.</w:t>
      </w:r>
    </w:p>
    <w:p w14:paraId="7AD5BCE6" w14:textId="77777777" w:rsidR="00000000" w:rsidRDefault="00E91E9C">
      <w:pPr>
        <w:pStyle w:val="BodyTextIndent"/>
        <w:spacing w:line="314" w:lineRule="auto"/>
        <w:rPr>
          <w:b/>
          <w:bCs/>
          <w:spacing w:val="4"/>
        </w:rPr>
      </w:pPr>
      <w:r>
        <w:rPr>
          <w:rFonts w:ascii="Times New Roman" w:hAnsi="Times New Roman" w:eastAsia="Times New Roman" w:cs="Times New Roman"/>
          <w:b/>
          <w:bCs/>
          <w:sz w:val="30"/>
        </w:rPr>
        <w:t>7. Tình hình đời sống dân cư dịp Tết Nguyên đán.</w:t>
      </w:r>
    </w:p>
    <w:p w14:paraId="74BCBEBC" w14:textId="77777777" w:rsidR="00000000" w:rsidRDefault="00E91E9C">
      <w:pPr>
        <w:spacing w:before="60" w:after="60" w:line="312" w:lineRule="auto"/>
        <w:ind w:firstLine="567"/>
        <w:jc w:val="both"/>
      </w:pPr>
      <w:r>
        <w:rPr>
          <w:rFonts w:ascii="Times New Roman" w:hAnsi="Times New Roman" w:eastAsia="Times New Roman" w:cs="Times New Roman"/>
        </w:rPr>
        <w:t xml:space="preserve">Trong dịp Tết Nguyên đán Nhâm Ngọ </w:t>
      </w:r>
      <w:r>
        <w:rPr>
          <w:rFonts w:ascii="Times New Roman" w:hAnsi="Times New Roman" w:eastAsia="Times New Roman" w:cs="Times New Roman"/>
        </w:rPr>
        <w:t xml:space="preserve">vừa qua, các ngành và các địa phương đã triển khai nhiều hoạt động phục vụ nhân dân nói chung và các gia đình chính sách, gia đình đang gặp khó khăn nói riêng đón Tết vui tươi, tiết kiệm. Nhiều doanh nghiệp đã cho công nhân tạm ứng tiền lương, tiền thưởng </w:t>
      </w:r>
      <w:r>
        <w:rPr>
          <w:rFonts w:ascii="Times New Roman" w:hAnsi="Times New Roman" w:eastAsia="Times New Roman" w:cs="Times New Roman"/>
        </w:rPr>
        <w:t>trước Tết. Tại Quảng Ninh, trước Tết công nhân ngành than được nhận tiền lương, thưởng tháng 2 mỗi người trên 1 triệu đồng. Tại Bình Phước, ngoài việc giải quyết tiền lương trước Tết, còn hỗ trợ cán bộ được điều đến làm việc tại huyện mới Đồng Phú 100 nghì</w:t>
      </w:r>
      <w:r>
        <w:rPr>
          <w:rFonts w:ascii="Times New Roman" w:hAnsi="Times New Roman" w:eastAsia="Times New Roman" w:cs="Times New Roman"/>
        </w:rPr>
        <w:t>n đồng/người. Liên đoàn Lao động và Sở Giao thông Vận tải Đà Nẵng đã tổ chức đi thăm và tặng quà  cán bộ, công nhân của thành phố đang làm việc trên công trình đường Hồ Chí Minh. Đáng chú ý là, hầu hết các tỉnh, thành phố đều đã tổ chức tặng quà Tết các gi</w:t>
      </w:r>
      <w:r>
        <w:rPr>
          <w:rFonts w:ascii="Times New Roman" w:hAnsi="Times New Roman" w:eastAsia="Times New Roman" w:cs="Times New Roman"/>
        </w:rPr>
        <w:t>a đình chính sách và trợ giúp các gia đình nghèo. Theo báo cáo của 34 tỉnh, thành phố, trong dịp Tết Nguyên đán vừa qua đã có 438 nghìn gia đình chính sách được tặng quà với tổng trị giá 7,4 tỷ đồng và 112 nghìn gia đình nghèo được trợ cấp khó khăn với tổn</w:t>
      </w:r>
      <w:r>
        <w:rPr>
          <w:rFonts w:ascii="Times New Roman" w:hAnsi="Times New Roman" w:eastAsia="Times New Roman" w:cs="Times New Roman"/>
        </w:rPr>
        <w:t>g trị giá 7,8 tỷ đồng.</w:t>
      </w:r>
    </w:p>
    <w:p w14:paraId="07EE23D1" w14:textId="77777777" w:rsidR="00000000" w:rsidRDefault="00E91E9C">
      <w:pPr>
        <w:spacing w:before="60" w:after="60" w:line="312" w:lineRule="auto"/>
        <w:ind w:firstLine="567"/>
        <w:jc w:val="both"/>
      </w:pPr>
      <w:r>
        <w:rPr>
          <w:rFonts w:ascii="Times New Roman" w:hAnsi="Times New Roman" w:eastAsia="Times New Roman" w:cs="Times New Roman"/>
        </w:rPr>
        <w:t xml:space="preserve">Cùng với việc chăm lo đời sống vật chất, các ngành và các địa phương còn đặc biệt quan tâm đến việc tổ chức các hoạt động văn hoá, văn nghệ, thể thao để nhân dân đón Tết vui vẻ. </w:t>
      </w:r>
      <w:r>
        <w:rPr>
          <w:rFonts w:ascii="Times New Roman" w:hAnsi="Times New Roman" w:eastAsia="Times New Roman" w:cs="Times New Roman"/>
        </w:rPr>
        <w:t>ở</w:t>
      </w:r>
      <w:r>
        <w:rPr>
          <w:rFonts w:ascii="Times New Roman" w:hAnsi="Times New Roman" w:eastAsia="Times New Roman" w:cs="Times New Roman"/>
        </w:rPr>
        <w:t xml:space="preserve"> tất cả 61 tỉnh, thành phố trong cả nước đều bắn pháo </w:t>
      </w:r>
      <w:r>
        <w:rPr>
          <w:rFonts w:ascii="Times New Roman" w:hAnsi="Times New Roman" w:eastAsia="Times New Roman" w:cs="Times New Roman"/>
        </w:rPr>
        <w:t>hoa trong đêm giao thừa. Cũng trong đêm giao thừa, nhiều điểm dân cư nội và ngoại thành Hà Nội đã có 500 diễn viên của các đoàn nghệ thuật biểu diễn 50 chương trình nghệ thuật mừng xuân mới. Thành phố Hồ Chí Minh đã tổ chức lễ hội văn hoá nghệ thuật truyền</w:t>
      </w:r>
      <w:r>
        <w:rPr>
          <w:rFonts w:ascii="Times New Roman" w:hAnsi="Times New Roman" w:eastAsia="Times New Roman" w:cs="Times New Roman"/>
        </w:rPr>
        <w:t xml:space="preserve"> thống chào mừng năm mới ở các sân khấu trong nhà và ngoài trời với sự tham gia của 2 nghìn diễn viên chuyên nghiệp và không chuyên.</w:t>
      </w:r>
    </w:p>
    <w:p w14:paraId="55E0C398" w14:textId="77777777" w:rsidR="00000000" w:rsidRDefault="00E91E9C">
      <w:pPr>
        <w:pStyle w:val="Footer"/>
        <w:tabs>
          <w:tab w:val="clear" w:pos="4320"/>
          <w:tab w:val="clear" w:pos="8640"/>
        </w:tabs>
        <w:ind w:left="4395"/>
        <w:jc w:val="center"/>
        <w:rPr>
          <w:rFonts w:ascii=".VnTimeH" w:hAnsi=".VnTimeH"/>
          <w:b/>
        </w:rPr>
      </w:pPr>
    </w:p>
    <w:p w14:paraId="2ABC80AD" w14:textId="77777777" w:rsidR="00000000" w:rsidRDefault="00E91E9C">
      <w:pPr>
        <w:pStyle w:val="Footer"/>
        <w:tabs>
          <w:tab w:val="clear" w:pos="4320"/>
          <w:tab w:val="clear" w:pos="8640"/>
        </w:tabs>
        <w:ind w:left="4395"/>
        <w:jc w:val="center"/>
        <w:rPr>
          <w:rFonts w:ascii=".VnTimeH" w:hAnsi=".VnTimeH"/>
          <w:b/>
        </w:rPr>
      </w:pPr>
      <w:r>
        <w:rPr>
          <w:rFonts w:ascii="Times New Roman" w:hAnsi="Times New Roman" w:eastAsia="Times New Roman" w:cs="Times New Roman"/>
          <w:b/>
        </w:rPr>
        <w:t>Q. Tổng cục trưởng</w:t>
      </w:r>
    </w:p>
    <w:p w14:paraId="1CA13A40" w14:textId="77777777" w:rsidR="00000000" w:rsidRDefault="00E91E9C">
      <w:pPr>
        <w:pStyle w:val="Footer"/>
        <w:tabs>
          <w:tab w:val="clear" w:pos="4320"/>
          <w:tab w:val="clear" w:pos="8640"/>
        </w:tabs>
        <w:ind w:left="4395"/>
        <w:jc w:val="center"/>
        <w:rPr>
          <w:rFonts w:ascii=".VnArialH" w:hAnsi=".VnArialH"/>
          <w:sz w:val="24"/>
        </w:rPr>
      </w:pPr>
      <w:r>
        <w:rPr>
          <w:rFonts w:ascii="Times New Roman" w:hAnsi="Times New Roman" w:eastAsia="Times New Roman" w:cs="Times New Roman"/>
          <w:b/>
        </w:rPr>
        <w:t>Tổng cục thống kê</w:t>
      </w:r>
    </w:p>
    <w:p w14:paraId="70447513" w14:textId="77777777" w:rsidR="00000000" w:rsidRDefault="00E91E9C">
      <w:pPr>
        <w:ind w:left="4395"/>
        <w:jc w:val="center"/>
        <w:rPr>
          <w:b/>
          <w:sz w:val="30"/>
        </w:rPr>
      </w:pPr>
    </w:p>
    <w:p w14:paraId="0D4C5337" w14:textId="77777777" w:rsidR="00000000" w:rsidRDefault="00E91E9C">
      <w:pPr>
        <w:ind w:left="4395"/>
        <w:jc w:val="center"/>
        <w:rPr>
          <w:b/>
          <w:sz w:val="30"/>
        </w:rPr>
      </w:pPr>
    </w:p>
    <w:p w14:paraId="44211B74" w14:textId="77777777" w:rsidR="00000000" w:rsidRDefault="00E91E9C">
      <w:pPr>
        <w:ind w:left="4395"/>
        <w:jc w:val="center"/>
        <w:rPr>
          <w:b/>
          <w:sz w:val="30"/>
        </w:rPr>
      </w:pPr>
    </w:p>
    <w:p w14:paraId="45270D01" w14:textId="77777777" w:rsidR="00000000" w:rsidRDefault="00E91E9C">
      <w:pPr>
        <w:ind w:left="4395"/>
        <w:jc w:val="center"/>
        <w:rPr>
          <w:b/>
          <w:sz w:val="30"/>
        </w:rPr>
      </w:pPr>
    </w:p>
    <w:p w14:paraId="062AAD5E" w14:textId="77777777" w:rsidR="00000000" w:rsidRDefault="00E91E9C">
      <w:pPr>
        <w:ind w:left="4395"/>
        <w:jc w:val="center"/>
        <w:rPr>
          <w:b/>
          <w:sz w:val="30"/>
        </w:rPr>
      </w:pPr>
    </w:p>
    <w:p w14:paraId="2E49A5FF" w14:textId="77777777" w:rsidR="00000000" w:rsidRDefault="00E91E9C">
      <w:pPr>
        <w:ind w:left="4395"/>
        <w:jc w:val="center"/>
        <w:rPr>
          <w:b/>
          <w:sz w:val="30"/>
        </w:rPr>
      </w:pPr>
    </w:p>
    <w:p w14:paraId="5A71FFFA" w14:textId="77777777" w:rsidR="00000000" w:rsidRDefault="00E91E9C">
      <w:pPr>
        <w:pStyle w:val="Heading1"/>
        <w:ind w:left="4395" w:firstLine="708"/>
      </w:pPr>
      <w:r>
        <w:rPr>
          <w:rFonts w:ascii="Times New Roman" w:hAnsi="Times New Roman" w:eastAsia="Times New Roman" w:cs="Times New Roman"/>
        </w:rPr>
        <w:t>Lê Mạnh Hùng</w:t>
      </w:r>
    </w:p>
    <w:sectPr w:rsidR="00000000">
      <w:footerReference w:type="even" r:id="rId7"/>
      <w:footerReference w:type="default" r:id="rId8"/>
      <w:headerReference w:type="default" r:id="rId11"/>
      <w:pgSz w:w="11907" w:h="16840" w:code="9"/>
      <w:pgMar w:top="1418" w:right="964" w:bottom="1287"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EBB0D3" w14:textId="77777777" w:rsidR="00000000" w:rsidRDefault="00E91E9C">
      <w:r>
        <w:separator/>
      </w:r>
    </w:p>
  </w:endnote>
  <w:endnote w:type="continuationSeparator" w:id="0">
    <w:p w14:paraId="5D856FF3" w14:textId="77777777" w:rsidR="00000000" w:rsidRDefault="00E91E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B8F35" w14:textId="77777777" w:rsidR="00000000" w:rsidRDefault="00E91E9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F18BF8" w14:textId="77777777" w:rsidR="00000000" w:rsidRDefault="00E91E9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FCCDC" w14:textId="77777777" w:rsidR="00000000" w:rsidRDefault="00E91E9C">
    <w:pPr>
      <w:pStyle w:val="Footer"/>
      <w:framePr w:wrap="around" w:vAnchor="text" w:hAnchor="margin" w:xAlign="center" w:y="1"/>
      <w:rPr>
        <w:rStyle w:val="PageNumber"/>
        <w:rFonts w:ascii=".VnArial" w:hAnsi=".VnArial"/>
        <w:sz w:val="24"/>
      </w:rPr>
    </w:pPr>
    <w:r>
      <w:rPr>
        <w:rStyle w:val="PageNumber"/>
        <w:rFonts w:ascii=".VnArial" w:hAnsi=".VnArial"/>
        <w:sz w:val="24"/>
      </w:rPr>
      <w:fldChar w:fldCharType="begin"/>
    </w:r>
    <w:r>
      <w:rPr>
        <w:rStyle w:val="PageNumber"/>
        <w:rFonts w:ascii=".VnArial" w:hAnsi=".VnArial"/>
        <w:sz w:val="24"/>
      </w:rPr>
      <w:instrText xml:space="preserve">PAGE  </w:instrText>
    </w:r>
    <w:r>
      <w:rPr>
        <w:rStyle w:val="PageNumber"/>
        <w:rFonts w:ascii=".VnArial" w:hAnsi=".VnArial"/>
        <w:sz w:val="24"/>
      </w:rPr>
      <w:fldChar w:fldCharType="separate"/>
    </w:r>
    <w:r>
      <w:rPr>
        <w:rStyle w:val="PageNumber"/>
        <w:rFonts w:ascii=".VnArial" w:hAnsi=".VnArial"/>
        <w:noProof/>
        <w:sz w:val="24"/>
      </w:rPr>
      <w:t>2</w:t>
    </w:r>
    <w:r>
      <w:rPr>
        <w:rStyle w:val="PageNumber"/>
        <w:rFonts w:ascii=".VnArial" w:hAnsi=".VnArial"/>
        <w:sz w:val="24"/>
      </w:rPr>
      <w:fldChar w:fldCharType="end"/>
    </w:r>
  </w:p>
  <w:p w14:paraId="6AC31A6A" w14:textId="77777777" w:rsidR="00000000" w:rsidRDefault="00E91E9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75F994" w14:textId="77777777" w:rsidR="00000000" w:rsidRDefault="00E91E9C">
      <w:r>
        <w:separator/>
      </w:r>
    </w:p>
  </w:footnote>
  <w:footnote w:type="continuationSeparator" w:id="0">
    <w:p w14:paraId="59264EED" w14:textId="77777777" w:rsidR="00000000" w:rsidRDefault="00E91E9C">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91E9C"/>
    <w:rsid w:val="00E91E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C39807"/>
  <w15:chartTrackingRefBased/>
  <w15:docId w15:val="{BF33BAEC-7C33-499B-947F-17ED23BB8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rPr>
  </w:style>
  <w:style w:type="paragraph" w:styleId="Heading1">
    <w:name w:val="heading 1"/>
    <w:basedOn w:val="Normal"/>
    <w:next w:val="Normal"/>
    <w:qFormat/>
    <w:pPr>
      <w:keepNext/>
      <w:ind w:left="5103" w:firstLine="567"/>
      <w:jc w:val="center"/>
      <w:outlineLvl w:val="0"/>
    </w:pPr>
    <w:rPr>
      <w:b/>
      <w:sz w:val="30"/>
    </w:rPr>
  </w:style>
  <w:style w:type="paragraph" w:styleId="Heading2">
    <w:name w:val="heading 2"/>
    <w:basedOn w:val="Normal"/>
    <w:next w:val="Normal"/>
    <w:qFormat/>
    <w:pPr>
      <w:keepNext/>
      <w:jc w:val="both"/>
      <w:outlineLvl w:val="1"/>
    </w:pPr>
    <w:rPr>
      <w:b/>
    </w:rPr>
  </w:style>
  <w:style w:type="paragraph" w:styleId="Heading3">
    <w:name w:val="heading 3"/>
    <w:basedOn w:val="Normal"/>
    <w:next w:val="Normal"/>
    <w:qFormat/>
    <w:pPr>
      <w:keepNext/>
      <w:spacing w:before="60" w:after="60" w:line="324" w:lineRule="auto"/>
      <w:ind w:firstLine="567"/>
      <w:jc w:val="both"/>
      <w:outlineLvl w:val="2"/>
    </w:pPr>
    <w:rPr>
      <w:b/>
    </w:rPr>
  </w:style>
  <w:style w:type="paragraph" w:styleId="Heading4">
    <w:name w:val="heading 4"/>
    <w:basedOn w:val="Normal"/>
    <w:next w:val="Normal"/>
    <w:qFormat/>
    <w:pPr>
      <w:keepNext/>
      <w:spacing w:line="360" w:lineRule="auto"/>
      <w:outlineLvl w:val="3"/>
    </w:pPr>
    <w:rPr>
      <w:b/>
    </w:rPr>
  </w:style>
  <w:style w:type="paragraph" w:styleId="Heading5">
    <w:name w:val="heading 5"/>
    <w:basedOn w:val="Normal"/>
    <w:next w:val="Normal"/>
    <w:qFormat/>
    <w:pPr>
      <w:keepNext/>
      <w:spacing w:before="60" w:after="60" w:line="312" w:lineRule="auto"/>
      <w:jc w:val="both"/>
      <w:outlineLvl w:val="4"/>
    </w:pPr>
    <w:rPr>
      <w:b/>
      <w:sz w:val="30"/>
    </w:rPr>
  </w:style>
  <w:style w:type="paragraph" w:styleId="Heading6">
    <w:name w:val="heading 6"/>
    <w:basedOn w:val="Normal"/>
    <w:next w:val="Normal"/>
    <w:qFormat/>
    <w:pPr>
      <w:keepNext/>
      <w:spacing w:before="60" w:after="60" w:line="312" w:lineRule="auto"/>
      <w:outlineLvl w:val="5"/>
    </w:pPr>
    <w:rPr>
      <w:b/>
      <w:sz w:val="30"/>
    </w:rPr>
  </w:style>
  <w:style w:type="paragraph" w:styleId="Heading8">
    <w:name w:val="heading 8"/>
    <w:basedOn w:val="Normal"/>
    <w:next w:val="Normal"/>
    <w:qFormat/>
    <w:pPr>
      <w:keepNext/>
      <w:spacing w:before="120" w:after="40"/>
      <w:ind w:firstLine="1104"/>
      <w:outlineLvl w:val="7"/>
    </w:pPr>
    <w:rPr>
      <w:rFonts w:ascii=".VnArial" w:hAnsi=".VnArial"/>
      <w:b/>
      <w:snapToGrid w:val="0"/>
      <w:color w:val="000000"/>
      <w:sz w:val="18"/>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rPr>
      <w:sz w:val="26"/>
    </w:rPr>
  </w:style>
  <w:style w:type="paragraph" w:styleId="BodyText">
    <w:name w:val="Body Text"/>
    <w:basedOn w:val="Normal"/>
    <w:semiHidden/>
    <w:pPr>
      <w:jc w:val="both"/>
    </w:pPr>
  </w:style>
  <w:style w:type="paragraph" w:styleId="BodyTextIndent">
    <w:name w:val="Body Text Indent"/>
    <w:basedOn w:val="Normal"/>
    <w:semiHidden/>
    <w:pPr>
      <w:spacing w:before="60" w:after="60" w:line="324" w:lineRule="auto"/>
      <w:ind w:firstLine="567"/>
      <w:jc w:val="both"/>
    </w:pPr>
    <w:rPr>
      <w:spacing w:val="-4"/>
    </w:rPr>
  </w:style>
  <w:style w:type="paragraph" w:styleId="BodyTextIndent2">
    <w:name w:val="Body Text Indent 2"/>
    <w:basedOn w:val="Normal"/>
    <w:semiHidden/>
    <w:pPr>
      <w:ind w:firstLine="720"/>
      <w:jc w:val="both"/>
    </w:pPr>
    <w:rPr>
      <w:color w:val="FF0000"/>
    </w:rPr>
  </w:style>
  <w:style w:type="character" w:styleId="PageNumber">
    <w:name w:val="page number"/>
    <w:basedOn w:val="DefaultParagraphFont"/>
    <w:semiHidden/>
  </w:style>
  <w:style w:type="paragraph" w:styleId="Header">
    <w:name w:val="header"/>
    <w:basedOn w:val="Normal"/>
    <w:semiHidden/>
    <w:pPr>
      <w:tabs>
        <w:tab w:val="center" w:pos="4320"/>
        <w:tab w:val="right" w:pos="8640"/>
      </w:tabs>
    </w:pPr>
  </w:style>
  <w:style w:type="paragraph" w:styleId="Title">
    <w:name w:val="Title"/>
    <w:basedOn w:val="Normal"/>
    <w:qFormat/>
    <w:pPr>
      <w:jc w:val="center"/>
    </w:pPr>
    <w:rPr>
      <w:b/>
    </w:rPr>
  </w:style>
  <w:style w:type="paragraph" w:styleId="BodyTextIndent3">
    <w:name w:val="Body Text Indent 3"/>
    <w:basedOn w:val="Normal"/>
    <w:semiHidden/>
    <w:pPr>
      <w:ind w:firstLine="36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Baocao\Nam2001\Thang08\Defaul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Default.dot</Template>
  <TotalTime>0</TotalTime>
  <Pages>6</Pages>
  <Words>2015</Words>
  <Characters>11487</Characters>
  <Application>Microsoft Office Word</Application>
  <DocSecurity>4</DocSecurity>
  <Lines>95</Lines>
  <Paragraphs>26</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Tctk</Company>
  <LinksUpToDate>false</LinksUpToDate>
  <CharactersWithSpaces>13476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UserName</dc:creator>
  <cp:keywords/>
  <cp:lastModifiedBy>Luận Quang</cp:lastModifiedBy>
  <cp:revision>2</cp:revision>
  <cp:lastPrinted>2002-02-25T12:11:00Z</cp:lastPrinted>
  <dcterms:created xsi:type="dcterms:W3CDTF">2026-08-11T08:19:00Z</dcterms:created>
  <dcterms:modified xsi:type="dcterms:W3CDTF">2026-08-11T08:19:00Z</dcterms:modified>
</cp:coreProperties>
</file>