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4AB23B" w14:textId="382D1EB4" w:rsidR="00CD72D5" w:rsidRPr="001D0EDC" w:rsidRDefault="001D0EDC">
      <w:pPr>
        <w:rPr>
          <w:lang w:val="es-CO"/>
        </w:rPr>
      </w:pPr>
      <w:r>
        <w:rPr>
          <w:lang w:val="es-CO"/>
        </w:rPr>
        <w:t>La empresa debe contar con suministro permanente de agua potable, servicios sanitarios y mecanismos para disponer excretas y basuras.</w:t>
      </w:r>
    </w:p>
    <w:sectPr w:rsidR="00CD72D5" w:rsidRPr="001D0E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B54"/>
    <w:rsid w:val="001D0EDC"/>
    <w:rsid w:val="00A33B54"/>
    <w:rsid w:val="00CD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B8648"/>
  <w15:chartTrackingRefBased/>
  <w15:docId w15:val="{BECE338D-DD2B-4DBB-82EE-64D64AC7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2</cp:revision>
  <dcterms:created xsi:type="dcterms:W3CDTF">2020-06-18T23:21:00Z</dcterms:created>
  <dcterms:modified xsi:type="dcterms:W3CDTF">2020-06-18T23:22:00Z</dcterms:modified>
</cp:coreProperties>
</file>