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2B55"/>
          <w:sz w:val="44"/>
        </w:rPr>
        <w:t>DOCUMENTAÇÃO DE ENTREGA</w:t>
      </w:r>
    </w:p>
    <w:p>
      <w:pPr>
        <w:jc w:val="center"/>
      </w:pPr>
      <w:r>
        <w:rPr>
          <w:color w:val="2E7DD6"/>
          <w:sz w:val="28"/>
        </w:rPr>
        <w:t>Performance Comercial — Qlik Sense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6912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Detalhe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r>
              <w:rPr>
                <w:sz w:val="18"/>
              </w:rPr>
              <w:t>Projeto</w:t>
            </w:r>
          </w:p>
        </w:tc>
        <w:tc>
          <w:tcPr>
            <w:tcW w:type="dxa" w:w="6912"/>
            <w:shd w:val="clear" w:color="auto" w:fill="F4F7FC"/>
          </w:tcPr>
          <w:p>
            <w:r>
              <w:rPr>
                <w:sz w:val="18"/>
              </w:rPr>
              <w:t>Monitoramento de Performance Comercial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Cliente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18"/>
              </w:rPr>
              <w:t>Equipe Comercial (Diretores, Gerentes e Consultores de Vendas)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r>
              <w:rPr>
                <w:sz w:val="18"/>
              </w:rPr>
              <w:t>Data de entrega</w:t>
            </w:r>
          </w:p>
        </w:tc>
        <w:tc>
          <w:tcPr>
            <w:tcW w:type="dxa" w:w="6912"/>
            <w:shd w:val="clear" w:color="auto" w:fill="F4F7FC"/>
          </w:tcPr>
          <w:p>
            <w:r>
              <w:rPr>
                <w:sz w:val="18"/>
              </w:rPr>
              <w:t>31 de março de 2026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Versão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r>
              <w:rPr>
                <w:sz w:val="18"/>
              </w:rPr>
              <w:t>Responsável técnico</w:t>
            </w:r>
          </w:p>
        </w:tc>
        <w:tc>
          <w:tcPr>
            <w:tcW w:type="dxa" w:w="6912"/>
            <w:shd w:val="clear" w:color="auto" w:fill="F4F7FC"/>
          </w:tcPr>
          <w:p>
            <w:r>
              <w:rPr>
                <w:sz w:val="18"/>
              </w:rPr>
              <w:t>Analista de BI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Validadores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18"/>
              </w:rPr>
              <w:t>Gerente Comercial · Analista de BI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D2B55"/>
        </w:rPr>
        <w:t>1. Resumo do Projeto</w:t>
      </w:r>
    </w:p>
    <w:p>
      <w:r>
        <w:rPr>
          <w:b w:val="0"/>
          <w:sz w:val="20"/>
        </w:rPr>
        <w:t>O projeto entrega um painel analítico em Qlik Sense para monitoramento da performance comercial da equipe de vendas. O objetivo é substituir o processo manual de consolidação em Excel (realizado semanalmente) por um dashboard atualizado diariamente às 6h, com dados direto do ERP Protheus.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6480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Detalhe</w:t>
            </w:r>
          </w:p>
        </w:tc>
      </w:tr>
      <w:tr>
        <w:tc>
          <w:tcPr>
            <w:tcW w:type="dxa" w:w="3600"/>
            <w:shd w:val="clear" w:color="auto" w:fill="F4F7FC"/>
          </w:tcPr>
          <w:p>
            <w:r>
              <w:rPr>
                <w:sz w:val="18"/>
              </w:rPr>
              <w:t>Ferramenta</w:t>
            </w:r>
          </w:p>
        </w:tc>
        <w:tc>
          <w:tcPr>
            <w:tcW w:type="dxa" w:w="6480"/>
            <w:shd w:val="clear" w:color="auto" w:fill="F4F7FC"/>
          </w:tcPr>
          <w:p>
            <w:r>
              <w:rPr>
                <w:sz w:val="18"/>
              </w:rPr>
              <w:t>Qlik Sense (Qlik Cloud)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Fonte principal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ERP Protheus (SQL Server)</w:t>
            </w:r>
          </w:p>
        </w:tc>
      </w:tr>
      <w:tr>
        <w:tc>
          <w:tcPr>
            <w:tcW w:type="dxa" w:w="3600"/>
            <w:shd w:val="clear" w:color="auto" w:fill="F4F7FC"/>
          </w:tcPr>
          <w:p>
            <w:r>
              <w:rPr>
                <w:sz w:val="18"/>
              </w:rPr>
              <w:t>Fonte secundária</w:t>
            </w:r>
          </w:p>
        </w:tc>
        <w:tc>
          <w:tcPr>
            <w:tcW w:type="dxa" w:w="6480"/>
            <w:shd w:val="clear" w:color="auto" w:fill="F4F7FC"/>
          </w:tcPr>
          <w:p>
            <w:r>
              <w:rPr>
                <w:sz w:val="18"/>
              </w:rPr>
              <w:t>Planilha de Metas (Excel → dbo.Metas)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Histórico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24 meses</w:t>
            </w:r>
          </w:p>
        </w:tc>
      </w:tr>
      <w:tr>
        <w:tc>
          <w:tcPr>
            <w:tcW w:type="dxa" w:w="3600"/>
            <w:shd w:val="clear" w:color="auto" w:fill="F4F7FC"/>
          </w:tcPr>
          <w:p>
            <w:r>
              <w:rPr>
                <w:sz w:val="18"/>
              </w:rPr>
              <w:t>Refresh</w:t>
            </w:r>
          </w:p>
        </w:tc>
        <w:tc>
          <w:tcPr>
            <w:tcW w:type="dxa" w:w="6480"/>
            <w:shd w:val="clear" w:color="auto" w:fill="F4F7FC"/>
          </w:tcPr>
          <w:p>
            <w:r>
              <w:rPr>
                <w:sz w:val="18"/>
              </w:rPr>
              <w:t>Diário às 06h (Qlik Cloud Reload Tasks)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Controle de acesso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Section Access por perfil (Consultor / Gerente / Diretor)</w:t>
            </w:r>
          </w:p>
        </w:tc>
      </w:tr>
      <w:tr>
        <w:tc>
          <w:tcPr>
            <w:tcW w:type="dxa" w:w="3600"/>
            <w:shd w:val="clear" w:color="auto" w:fill="F4F7FC"/>
          </w:tcPr>
          <w:p>
            <w:r>
              <w:rPr>
                <w:sz w:val="18"/>
              </w:rPr>
              <w:t>Indicadores entregues</w:t>
            </w:r>
          </w:p>
        </w:tc>
        <w:tc>
          <w:tcPr>
            <w:tcW w:type="dxa" w:w="6480"/>
            <w:shd w:val="clear" w:color="auto" w:fill="F4F7FC"/>
          </w:tcPr>
          <w:p>
            <w:r>
              <w:rPr>
                <w:sz w:val="18"/>
              </w:rPr>
              <w:t>20 KPIs e métricas de análise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Sheets do app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4 (Visão Executiva, Performance Comercial, Produtos, Financeiro)</w:t>
            </w:r>
          </w:p>
        </w:tc>
      </w:tr>
    </w:tbl>
    <w:p>
      <w:pPr>
        <w:pBdr>
          <w:bottom w:val="single" w:sz="6" w:space="1" w:color="2E7DD6"/>
        </w:pBdr>
      </w:pPr>
    </w:p>
    <w:p>
      <w:pPr>
        <w:pStyle w:val="Heading1"/>
      </w:pPr>
      <w:r>
        <w:rPr>
          <w:color w:val="0D2B55"/>
        </w:rPr>
        <w:t>2. Fonte de Dados e Conexão</w:t>
      </w:r>
    </w:p>
    <w:p>
      <w:pPr>
        <w:pStyle w:val="Heading2"/>
      </w:pPr>
      <w:r>
        <w:rPr>
          <w:color w:val="0D2B55"/>
        </w:rPr>
        <w:t>2.1 Conexão configurada</w:t>
      </w:r>
    </w:p>
    <w:p>
      <w:r>
        <w:rPr>
          <w:b/>
          <w:sz w:val="20"/>
        </w:rPr>
        <w:t>Arquivo: Extracao/config/conexao.inc</w:t>
      </w:r>
    </w:p>
    <w:p>
      <w:pPr>
        <w:pStyle w:val="NoSpacing"/>
        <w:shd w:val="clear" w:color="auto" w:fill="EEF2F8"/>
      </w:pPr>
      <w:r>
        <w:rPr>
          <w:rFonts w:ascii="Courier New" w:hAnsi="Courier New"/>
          <w:color w:val="1A4A8A"/>
          <w:sz w:val="18"/>
        </w:rPr>
        <w:t>LIB CONNECT TO 'Protheus_SQLServer';</w:t>
      </w:r>
    </w:p>
    <w:p>
      <w:r>
        <w:rPr>
          <w:b w:val="0"/>
          <w:sz w:val="20"/>
        </w:rPr>
        <w:t>A Data Connection 'Protheus_SQLServer' deve ser criada no Qlik Cloud Management Console apontando para o SQL Server do ERP Protheus, com credenciais fornecidas pelo DBA responsável.</w:t>
      </w:r>
    </w:p>
    <w:p>
      <w:pPr>
        <w:pStyle w:val="Heading2"/>
      </w:pPr>
      <w:r>
        <w:rPr>
          <w:color w:val="0D2B55"/>
        </w:rPr>
        <w:t>2.2 Tabelas de origem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Tabela de Origem</w:t>
            </w:r>
          </w:p>
        </w:tc>
        <w:tc>
          <w:tcPr>
            <w:tcW w:type="dxa" w:w="2160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5328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Registros extraídos</w:t>
            </w:r>
          </w:p>
        </w:tc>
      </w:tr>
      <w:tr>
        <w:tc>
          <w:tcPr>
            <w:tcW w:type="dxa" w:w="2592"/>
            <w:shd w:val="clear" w:color="auto" w:fill="F4F7FC"/>
          </w:tcPr>
          <w:p>
            <w:r>
              <w:rPr>
                <w:sz w:val="18"/>
              </w:rPr>
              <w:t>dbo.Pedidos</w:t>
            </w:r>
          </w:p>
        </w:tc>
        <w:tc>
          <w:tcPr>
            <w:tcW w:type="dxa" w:w="2160"/>
            <w:shd w:val="clear" w:color="auto" w:fill="F4F7FC"/>
          </w:tcPr>
          <w:p>
            <w:r>
              <w:rPr>
                <w:sz w:val="18"/>
              </w:rPr>
              <w:t>Fato (vendas)</w:t>
            </w:r>
          </w:p>
        </w:tc>
        <w:tc>
          <w:tcPr>
            <w:tcW w:type="dxa" w:w="5328"/>
            <w:shd w:val="clear" w:color="auto" w:fill="F4F7FC"/>
          </w:tcPr>
          <w:p>
            <w:r>
              <w:rPr>
                <w:sz w:val="18"/>
              </w:rPr>
              <w:t>Filtrado por DataEmissao (24 meses)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dbo.Financeiro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Fato (financeiro)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  <w:t>Filtrado por Data_Vencimento (24 meses)</w:t>
            </w:r>
          </w:p>
        </w:tc>
      </w:tr>
      <w:tr>
        <w:tc>
          <w:tcPr>
            <w:tcW w:type="dxa" w:w="2592"/>
            <w:shd w:val="clear" w:color="auto" w:fill="F4F7FC"/>
          </w:tcPr>
          <w:p>
            <w:r>
              <w:rPr>
                <w:sz w:val="18"/>
              </w:rPr>
              <w:t>dbo.Metas</w:t>
            </w:r>
          </w:p>
        </w:tc>
        <w:tc>
          <w:tcPr>
            <w:tcW w:type="dxa" w:w="2160"/>
            <w:shd w:val="clear" w:color="auto" w:fill="F4F7FC"/>
          </w:tcPr>
          <w:p>
            <w:r>
              <w:rPr>
                <w:sz w:val="18"/>
              </w:rPr>
              <w:t>Fato (metas)</w:t>
            </w:r>
          </w:p>
        </w:tc>
        <w:tc>
          <w:tcPr>
            <w:tcW w:type="dxa" w:w="5328"/>
            <w:shd w:val="clear" w:color="auto" w:fill="F4F7FC"/>
          </w:tcPr>
          <w:p>
            <w:r>
              <w:rPr>
                <w:sz w:val="18"/>
              </w:rPr>
              <w:t>Todos (planilha importada)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dbo.Clientes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Dimensão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  <w:t>Completo</w:t>
            </w:r>
          </w:p>
        </w:tc>
      </w:tr>
      <w:tr>
        <w:tc>
          <w:tcPr>
            <w:tcW w:type="dxa" w:w="2592"/>
            <w:shd w:val="clear" w:color="auto" w:fill="F4F7FC"/>
          </w:tcPr>
          <w:p>
            <w:r>
              <w:rPr>
                <w:sz w:val="18"/>
              </w:rPr>
              <w:t>dbo.Consultores</w:t>
            </w:r>
          </w:p>
        </w:tc>
        <w:tc>
          <w:tcPr>
            <w:tcW w:type="dxa" w:w="2160"/>
            <w:shd w:val="clear" w:color="auto" w:fill="F4F7FC"/>
          </w:tcPr>
          <w:p>
            <w:r>
              <w:rPr>
                <w:sz w:val="18"/>
              </w:rPr>
              <w:t>Dimensão</w:t>
            </w:r>
          </w:p>
        </w:tc>
        <w:tc>
          <w:tcPr>
            <w:tcW w:type="dxa" w:w="5328"/>
            <w:shd w:val="clear" w:color="auto" w:fill="F4F7FC"/>
          </w:tcPr>
          <w:p>
            <w:r>
              <w:rPr>
                <w:sz w:val="18"/>
              </w:rPr>
              <w:t>Completo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dbo.Produtos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Dimensão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  <w:t>Completo</w:t>
            </w:r>
          </w:p>
        </w:tc>
      </w:tr>
    </w:tbl>
    <w:p>
      <w:pPr>
        <w:pBdr>
          <w:bottom w:val="single" w:sz="6" w:space="1" w:color="2E7DD6"/>
        </w:pBdr>
      </w:pPr>
    </w:p>
    <w:p>
      <w:pPr>
        <w:pStyle w:val="Heading1"/>
      </w:pPr>
      <w:r>
        <w:rPr>
          <w:color w:val="0D2B55"/>
        </w:rPr>
        <w:t>3. Modelo de Dados</w:t>
      </w:r>
    </w:p>
    <w:p>
      <w:pPr>
        <w:pStyle w:val="Heading2"/>
      </w:pPr>
      <w:r>
        <w:rPr>
          <w:color w:val="0D2B55"/>
        </w:rPr>
        <w:t>3.1 Padrão: Star Schema (Modelo Estrela)</w:t>
      </w:r>
    </w:p>
    <w:p>
      <w:r>
        <w:rPr>
          <w:b w:val="0"/>
          <w:sz w:val="20"/>
        </w:rPr>
        <w:t>4 dimensões × 3 tabelas fato, sem chaves sintéticas, com ApplyMap em todas as transformações.</w:t>
      </w:r>
    </w:p>
    <w:p>
      <w:pPr>
        <w:pStyle w:val="Heading2"/>
      </w:pPr>
      <w:r>
        <w:rPr>
          <w:color w:val="0D2B55"/>
        </w:rPr>
        <w:t>3.2 Dimensões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016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Tabela QVD</w:t>
            </w:r>
          </w:p>
        </w:tc>
        <w:tc>
          <w:tcPr>
            <w:tcW w:type="dxa" w:w="2160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Granularidade</w:t>
            </w:r>
          </w:p>
        </w:tc>
        <w:tc>
          <w:tcPr>
            <w:tcW w:type="dxa" w:w="2016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Chave PK</w:t>
            </w:r>
          </w:p>
        </w:tc>
        <w:tc>
          <w:tcPr>
            <w:tcW w:type="dxa" w:w="1872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Fonte</w:t>
            </w:r>
          </w:p>
        </w:tc>
        <w:tc>
          <w:tcPr>
            <w:tcW w:type="dxa" w:w="3456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Campos principais</w:t>
            </w:r>
          </w:p>
        </w:tc>
      </w:tr>
      <w:tr>
        <w:tc>
          <w:tcPr>
            <w:tcW w:type="dxa" w:w="2016"/>
            <w:shd w:val="clear" w:color="auto" w:fill="F4F7FC"/>
          </w:tcPr>
          <w:p>
            <w:r>
              <w:rPr>
                <w:sz w:val="18"/>
              </w:rPr>
              <w:t>dim_tempo</w:t>
            </w:r>
          </w:p>
        </w:tc>
        <w:tc>
          <w:tcPr>
            <w:tcW w:type="dxa" w:w="2160"/>
            <w:shd w:val="clear" w:color="auto" w:fill="F4F7FC"/>
          </w:tcPr>
          <w:p>
            <w:r>
              <w:rPr>
                <w:sz w:val="18"/>
              </w:rPr>
              <w:t>1 linha por dia</w:t>
            </w:r>
          </w:p>
        </w:tc>
        <w:tc>
          <w:tcPr>
            <w:tcW w:type="dxa" w:w="2016"/>
            <w:shd w:val="clear" w:color="auto" w:fill="F4F7FC"/>
          </w:tcPr>
          <w:p>
            <w:r>
              <w:rPr>
                <w:sz w:val="18"/>
              </w:rPr>
              <w:t>ID_Data (YYYYMMDD)</w:t>
            </w:r>
          </w:p>
        </w:tc>
        <w:tc>
          <w:tcPr>
            <w:tcW w:type="dxa" w:w="1872"/>
            <w:shd w:val="clear" w:color="auto" w:fill="F4F7FC"/>
          </w:tcPr>
          <w:p>
            <w:r>
              <w:rPr>
                <w:sz w:val="18"/>
              </w:rPr>
              <w:t>Gerada via script</w:t>
            </w:r>
          </w:p>
        </w:tc>
        <w:tc>
          <w:tcPr>
            <w:tcW w:type="dxa" w:w="3456"/>
            <w:shd w:val="clear" w:color="auto" w:fill="F4F7FC"/>
          </w:tcPr>
          <w:p>
            <w:r>
              <w:rPr>
                <w:sz w:val="18"/>
              </w:rPr>
              <w:t>Data, Dia, Mês, Trimestre, Semestre, Ano, Dia_Semana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dim_cliente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 linha por cliente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ID_Cliente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dbo.Clientes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Nome_Cliente, Data_Primeira_Compra</w:t>
            </w:r>
          </w:p>
        </w:tc>
      </w:tr>
      <w:tr>
        <w:tc>
          <w:tcPr>
            <w:tcW w:type="dxa" w:w="2016"/>
            <w:shd w:val="clear" w:color="auto" w:fill="F4F7FC"/>
          </w:tcPr>
          <w:p>
            <w:r>
              <w:rPr>
                <w:sz w:val="18"/>
              </w:rPr>
              <w:t>dim_consultor</w:t>
            </w:r>
          </w:p>
        </w:tc>
        <w:tc>
          <w:tcPr>
            <w:tcW w:type="dxa" w:w="2160"/>
            <w:shd w:val="clear" w:color="auto" w:fill="F4F7FC"/>
          </w:tcPr>
          <w:p>
            <w:r>
              <w:rPr>
                <w:sz w:val="18"/>
              </w:rPr>
              <w:t>1 linha por consultor</w:t>
            </w:r>
          </w:p>
        </w:tc>
        <w:tc>
          <w:tcPr>
            <w:tcW w:type="dxa" w:w="2016"/>
            <w:shd w:val="clear" w:color="auto" w:fill="F4F7FC"/>
          </w:tcPr>
          <w:p>
            <w:r>
              <w:rPr>
                <w:sz w:val="18"/>
              </w:rPr>
              <w:t>ID_Consultor</w:t>
            </w:r>
          </w:p>
        </w:tc>
        <w:tc>
          <w:tcPr>
            <w:tcW w:type="dxa" w:w="1872"/>
            <w:shd w:val="clear" w:color="auto" w:fill="F4F7FC"/>
          </w:tcPr>
          <w:p>
            <w:r>
              <w:rPr>
                <w:sz w:val="18"/>
              </w:rPr>
              <w:t>dbo.Consultores</w:t>
            </w:r>
          </w:p>
        </w:tc>
        <w:tc>
          <w:tcPr>
            <w:tcW w:type="dxa" w:w="3456"/>
            <w:shd w:val="clear" w:color="auto" w:fill="F4F7FC"/>
          </w:tcPr>
          <w:p>
            <w:r>
              <w:rPr>
                <w:sz w:val="18"/>
              </w:rPr>
              <w:t>Nome_Consultor, Gerencia_Regional, Regiao, UF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dim_produto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 linha por produto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ID_Produto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dbo.Produtos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Nome_Produto, Linha_Produto</w:t>
            </w:r>
          </w:p>
        </w:tc>
      </w:tr>
    </w:tbl>
    <w:p>
      <w:pPr>
        <w:pStyle w:val="Heading2"/>
      </w:pPr>
      <w:r>
        <w:rPr>
          <w:color w:val="0D2B55"/>
        </w:rPr>
        <w:t>3.3 Fatos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Tabela QVD</w:t>
            </w:r>
          </w:p>
        </w:tc>
        <w:tc>
          <w:tcPr>
            <w:tcW w:type="dxa" w:w="2592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Granularidade</w:t>
            </w:r>
          </w:p>
        </w:tc>
        <w:tc>
          <w:tcPr>
            <w:tcW w:type="dxa" w:w="3600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FKs</w:t>
            </w:r>
          </w:p>
        </w:tc>
        <w:tc>
          <w:tcPr>
            <w:tcW w:type="dxa" w:w="3168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Métricas principais</w:t>
            </w:r>
          </w:p>
        </w:tc>
      </w:tr>
      <w:tr>
        <w:tc>
          <w:tcPr>
            <w:tcW w:type="dxa" w:w="2160"/>
            <w:shd w:val="clear" w:color="auto" w:fill="F4F7FC"/>
          </w:tcPr>
          <w:p>
            <w:r>
              <w:rPr>
                <w:sz w:val="18"/>
              </w:rPr>
              <w:t>fato_vendas</w:t>
            </w:r>
          </w:p>
        </w:tc>
        <w:tc>
          <w:tcPr>
            <w:tcW w:type="dxa" w:w="2592"/>
            <w:shd w:val="clear" w:color="auto" w:fill="F4F7FC"/>
          </w:tcPr>
          <w:p>
            <w:r>
              <w:rPr>
                <w:sz w:val="18"/>
              </w:rPr>
              <w:t>1 linha por pedido</w:t>
            </w:r>
          </w:p>
        </w:tc>
        <w:tc>
          <w:tcPr>
            <w:tcW w:type="dxa" w:w="3600"/>
            <w:shd w:val="clear" w:color="auto" w:fill="F4F7FC"/>
          </w:tcPr>
          <w:p>
            <w:r>
              <w:rPr>
                <w:sz w:val="18"/>
              </w:rPr>
              <w:t>ID_Data, ID_Cliente, ID_Consultor, ID_Produto</w:t>
            </w:r>
          </w:p>
        </w:tc>
        <w:tc>
          <w:tcPr>
            <w:tcW w:type="dxa" w:w="3168"/>
            <w:shd w:val="clear" w:color="auto" w:fill="F4F7FC"/>
          </w:tcPr>
          <w:p>
            <w:r>
              <w:rPr>
                <w:sz w:val="18"/>
              </w:rPr>
              <w:t>Valor_Venda, Valor_Bruto, Valor_Desconto, Custo_Produto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fato_financeiro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1 linha por título/parcela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ID_Data_Vencimento, ID_Data_Pagamento, ID_Cliente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Valor_Total, Valor_Em_Atraso, Status_Financeiro</w:t>
            </w:r>
          </w:p>
        </w:tc>
      </w:tr>
      <w:tr>
        <w:tc>
          <w:tcPr>
            <w:tcW w:type="dxa" w:w="2160"/>
            <w:shd w:val="clear" w:color="auto" w:fill="F4F7FC"/>
          </w:tcPr>
          <w:p>
            <w:r>
              <w:rPr>
                <w:sz w:val="18"/>
              </w:rPr>
              <w:t>fato_metas</w:t>
            </w:r>
          </w:p>
        </w:tc>
        <w:tc>
          <w:tcPr>
            <w:tcW w:type="dxa" w:w="2592"/>
            <w:shd w:val="clear" w:color="auto" w:fill="F4F7FC"/>
          </w:tcPr>
          <w:p>
            <w:r>
              <w:rPr>
                <w:sz w:val="18"/>
              </w:rPr>
              <w:t>1 linha por consultor/mês</w:t>
            </w:r>
          </w:p>
        </w:tc>
        <w:tc>
          <w:tcPr>
            <w:tcW w:type="dxa" w:w="3600"/>
            <w:shd w:val="clear" w:color="auto" w:fill="F4F7FC"/>
          </w:tcPr>
          <w:p>
            <w:r>
              <w:rPr>
                <w:sz w:val="18"/>
              </w:rPr>
              <w:t>ID_Consultor, ID_Data</w:t>
            </w:r>
          </w:p>
        </w:tc>
        <w:tc>
          <w:tcPr>
            <w:tcW w:type="dxa" w:w="3168"/>
            <w:shd w:val="clear" w:color="auto" w:fill="F4F7FC"/>
          </w:tcPr>
          <w:p>
            <w:r>
              <w:rPr>
                <w:sz w:val="18"/>
              </w:rPr>
              <w:t>Valor_Meta</w:t>
            </w:r>
          </w:p>
        </w:tc>
      </w:tr>
    </w:tbl>
    <w:p>
      <w:pPr>
        <w:pStyle w:val="Heading2"/>
      </w:pPr>
      <w:r>
        <w:rPr>
          <w:color w:val="0D2B55"/>
        </w:rPr>
        <w:t>3.4 Hierarquia Comercial</w:t>
      </w:r>
    </w:p>
    <w:p>
      <w:pPr>
        <w:pStyle w:val="NoSpacing"/>
        <w:shd w:val="clear" w:color="auto" w:fill="EEF2F8"/>
      </w:pPr>
      <w:r>
        <w:rPr>
          <w:rFonts w:ascii="Courier New" w:hAnsi="Courier New"/>
          <w:color w:val="1A4A8A"/>
          <w:sz w:val="18"/>
        </w:rPr>
        <w:t>Diretoria</w:t>
        <w:br/>
        <w:t xml:space="preserve">  └─ Gerencia_Regional   (dim_consultor)</w:t>
        <w:br/>
        <w:t xml:space="preserve">       └─ Nome_Consultor</w:t>
        <w:br/>
        <w:t xml:space="preserve">            └─ Regiao / UF</w:t>
      </w:r>
    </w:p>
    <w:p>
      <w:r>
        <w:rPr>
          <w:b w:val="0"/>
          <w:sz w:val="20"/>
        </w:rPr>
        <w:t>DDL completo (T-SQL) com constraints e índices em: Extracao/ddl_modelo_estrela.sql</w:t>
      </w:r>
    </w:p>
    <w:p>
      <w:pPr>
        <w:pBdr>
          <w:bottom w:val="single" w:sz="6" w:space="1" w:color="2E7DD6"/>
        </w:pBdr>
      </w:pPr>
    </w:p>
    <w:p>
      <w:pPr>
        <w:pStyle w:val="Heading1"/>
      </w:pPr>
      <w:r>
        <w:rPr>
          <w:color w:val="0D2B55"/>
        </w:rPr>
        <w:t>4. Scripts de Extração</w:t>
      </w:r>
    </w:p>
    <w:p>
      <w:pPr>
        <w:pStyle w:val="Heading2"/>
      </w:pPr>
      <w:r>
        <w:rPr>
          <w:color w:val="0D2B55"/>
        </w:rPr>
        <w:t>4.1 Estrutura de arquivos</w:t>
      </w:r>
    </w:p>
    <w:p>
      <w:pPr>
        <w:pStyle w:val="NoSpacing"/>
        <w:shd w:val="clear" w:color="auto" w:fill="EEF2F8"/>
      </w:pPr>
      <w:r>
        <w:rPr>
          <w:rFonts w:ascii="Courier New" w:hAnsi="Courier New"/>
          <w:color w:val="1A4A8A"/>
          <w:sz w:val="18"/>
        </w:rPr>
        <w:t>Extracao/</w:t>
        <w:br/>
        <w:t>├── config/</w:t>
        <w:br/>
        <w:t>│   ├── conexao.inc          ← String de conexão (SQL Server / ODBC)</w:t>
        <w:br/>
        <w:t>│   └── variaveis.inc        ← vDataInicio, vDataFim, vRefresh, vPathQVD</w:t>
        <w:br/>
        <w:t>├── 01_extract_dim_cliente.inc</w:t>
        <w:br/>
        <w:t>├── 02_extract_dim_consultor.inc</w:t>
        <w:br/>
        <w:t>├── 03_extract_dim_produto.inc</w:t>
        <w:br/>
        <w:t>├── 04_extract_dim_tempo.inc  ← Calendário gerado via script (sem SQL)</w:t>
        <w:br/>
        <w:t>├── 05_extract_fato_vendas.inc</w:t>
        <w:br/>
        <w:t>├── 06_extract_fato_financeiro.inc</w:t>
        <w:br/>
        <w:t>├── 07_extract_fato_metas.inc</w:t>
        <w:br/>
        <w:t>├── main_load.inc             ← Orquestrador (chamar este no app)</w:t>
        <w:br/>
        <w:t>└── QVDs/                    ← QVDs gerados pela extração</w:t>
      </w:r>
    </w:p>
    <w:p>
      <w:pPr>
        <w:pStyle w:val="Heading2"/>
      </w:pPr>
      <w:r>
        <w:rPr>
          <w:color w:val="0D2B55"/>
        </w:rPr>
        <w:t>4.2 Variáveis globais (variaveis.inc)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Variável</w:t>
            </w:r>
          </w:p>
        </w:tc>
        <w:tc>
          <w:tcPr>
            <w:tcW w:type="dxa" w:w="3600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888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92"/>
            <w:shd w:val="clear" w:color="auto" w:fill="F4F7FC"/>
          </w:tcPr>
          <w:p>
            <w:r>
              <w:rPr>
                <w:sz w:val="18"/>
              </w:rPr>
              <w:t>vDataFim</w:t>
            </w:r>
          </w:p>
        </w:tc>
        <w:tc>
          <w:tcPr>
            <w:tcW w:type="dxa" w:w="3600"/>
            <w:shd w:val="clear" w:color="auto" w:fill="F4F7FC"/>
          </w:tcPr>
          <w:p>
            <w:r>
              <w:rPr>
                <w:sz w:val="18"/>
              </w:rPr>
              <w:t>Today()</w:t>
            </w:r>
          </w:p>
        </w:tc>
        <w:tc>
          <w:tcPr>
            <w:tcW w:type="dxa" w:w="3888"/>
            <w:shd w:val="clear" w:color="auto" w:fill="F4F7FC"/>
          </w:tcPr>
          <w:p>
            <w:r>
              <w:rPr>
                <w:sz w:val="18"/>
              </w:rPr>
              <w:t>Data final da janela de extração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vDataInicio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AddMonths(Today(), -24)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24 meses de histórico</w:t>
            </w:r>
          </w:p>
        </w:tc>
      </w:tr>
      <w:tr>
        <w:tc>
          <w:tcPr>
            <w:tcW w:type="dxa" w:w="2592"/>
            <w:shd w:val="clear" w:color="auto" w:fill="F4F7FC"/>
          </w:tcPr>
          <w:p>
            <w:r>
              <w:rPr>
                <w:sz w:val="18"/>
              </w:rPr>
              <w:t>vDataInicioSQL</w:t>
            </w:r>
          </w:p>
        </w:tc>
        <w:tc>
          <w:tcPr>
            <w:tcW w:type="dxa" w:w="3600"/>
            <w:shd w:val="clear" w:color="auto" w:fill="F4F7FC"/>
          </w:tcPr>
          <w:p>
            <w:r>
              <w:rPr>
                <w:sz w:val="18"/>
              </w:rPr>
              <w:t>Date(vDataInicio, 'YYYY-MM-DD')</w:t>
            </w:r>
          </w:p>
        </w:tc>
        <w:tc>
          <w:tcPr>
            <w:tcW w:type="dxa" w:w="3888"/>
            <w:shd w:val="clear" w:color="auto" w:fill="F4F7FC"/>
          </w:tcPr>
          <w:p>
            <w:r>
              <w:rPr>
                <w:sz w:val="18"/>
              </w:rPr>
              <w:t>Formato WHERE no SQL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vDataFimSQL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Date(vDataFim, 'YYYY-MM-DD')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Formato WHERE no SQL</w:t>
            </w:r>
          </w:p>
        </w:tc>
      </w:tr>
      <w:tr>
        <w:tc>
          <w:tcPr>
            <w:tcW w:type="dxa" w:w="2592"/>
            <w:shd w:val="clear" w:color="auto" w:fill="F4F7FC"/>
          </w:tcPr>
          <w:p>
            <w:r>
              <w:rPr>
                <w:sz w:val="18"/>
              </w:rPr>
              <w:t>vRefresh</w:t>
            </w:r>
          </w:p>
        </w:tc>
        <w:tc>
          <w:tcPr>
            <w:tcW w:type="dxa" w:w="3600"/>
            <w:shd w:val="clear" w:color="auto" w:fill="F4F7FC"/>
          </w:tcPr>
          <w:p>
            <w:r>
              <w:rPr>
                <w:sz w:val="18"/>
              </w:rPr>
              <w:t>'06:00'</w:t>
            </w:r>
          </w:p>
        </w:tc>
        <w:tc>
          <w:tcPr>
            <w:tcW w:type="dxa" w:w="3888"/>
            <w:shd w:val="clear" w:color="auto" w:fill="F4F7FC"/>
          </w:tcPr>
          <w:p>
            <w:r>
              <w:rPr>
                <w:sz w:val="18"/>
              </w:rPr>
              <w:t>Horário do reload diário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vPathQVD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'lib://DataFiles/QVDs/'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Caminho dos QVDs no Qlik Cloud</w:t>
            </w:r>
          </w:p>
        </w:tc>
      </w:tr>
    </w:tbl>
    <w:p>
      <w:pPr>
        <w:pStyle w:val="Heading2"/>
      </w:pPr>
      <w:r>
        <w:rPr>
          <w:color w:val="0D2B55"/>
        </w:rPr>
        <w:t>4.3 Como executar</w:t>
      </w:r>
    </w:p>
    <w:p>
      <w:pPr>
        <w:pStyle w:val="NoSpacing"/>
        <w:shd w:val="clear" w:color="auto" w:fill="EEF2F8"/>
      </w:pPr>
      <w:r>
        <w:rPr>
          <w:rFonts w:ascii="Courier New" w:hAnsi="Courier New"/>
          <w:color w:val="1A4A8A"/>
          <w:sz w:val="18"/>
        </w:rPr>
        <w:t>$(Must_Include=[lib://DataFiles/Extracao/main_load.inc]);</w:t>
      </w:r>
    </w:p>
    <w:p>
      <w:pPr>
        <w:pBdr>
          <w:bottom w:val="single" w:sz="6" w:space="1" w:color="2E7DD6"/>
        </w:pBdr>
      </w:pPr>
    </w:p>
    <w:p>
      <w:pPr>
        <w:pStyle w:val="Heading1"/>
      </w:pPr>
      <w:r>
        <w:rPr>
          <w:color w:val="0D2B55"/>
        </w:rPr>
        <w:t>5. Scripts de Transformação</w:t>
      </w:r>
    </w:p>
    <w:p>
      <w:pPr>
        <w:pStyle w:val="Heading2"/>
      </w:pPr>
      <w:r>
        <w:rPr>
          <w:color w:val="0D2B55"/>
        </w:rPr>
        <w:t>5.1 Regras de negócio por script</w:t>
      </w:r>
    </w:p>
    <w:p>
      <w:r>
        <w:rPr>
          <w:b/>
          <w:sz w:val="20"/>
        </w:rPr>
        <w:t>01_transform_faturamento.inc — Indicadores 1,4,7–13,19,20</w:t>
      </w:r>
    </w:p>
    <w:p>
      <w:pPr>
        <w:pStyle w:val="ListBullet"/>
      </w:pPr>
      <w:r>
        <w:rPr>
          <w:sz w:val="18"/>
        </w:rPr>
        <w:t>Calcula Margem_Absoluta = Valor_Venda - Custo_Produto por pedido</w:t>
      </w:r>
    </w:p>
    <w:p>
      <w:pPr>
        <w:pStyle w:val="ListBullet"/>
      </w:pPr>
      <w:r>
        <w:rPr>
          <w:sz w:val="18"/>
        </w:rPr>
        <w:t>Flag_Desconto_Alto (desconto &gt; 10%) e Flag_Fechado para Taxa de Conversão</w:t>
      </w:r>
    </w:p>
    <w:p>
      <w:pPr>
        <w:pStyle w:val="ListBullet"/>
      </w:pPr>
      <w:r>
        <w:rPr>
          <w:sz w:val="18"/>
        </w:rPr>
        <w:t>Enriquece fato_vendas com Regiao, UF, Gerencia_Regional e Linha_Produto via ApplyMap</w:t>
      </w:r>
    </w:p>
    <w:p>
      <w:pPr>
        <w:pStyle w:val="ListBullet"/>
      </w:pPr>
      <w:r>
        <w:rPr>
          <w:sz w:val="18"/>
        </w:rPr>
        <w:t>Gera resumo_faturamento_mensal agrupado por consultor/mês (suporte MoM/YoY)</w:t>
      </w:r>
    </w:p>
    <w:p>
      <w:r>
        <w:rPr>
          <w:b/>
          <w:sz w:val="20"/>
        </w:rPr>
        <w:t>02_transform_financeiro.inc — Indicadores 6,14–17</w:t>
      </w:r>
    </w:p>
    <w:p>
      <w:pPr>
        <w:pStyle w:val="ListBullet"/>
      </w:pPr>
      <w:r>
        <w:rPr>
          <w:sz w:val="18"/>
        </w:rPr>
        <w:t>Calcula Dias_Atraso = Data_Pagamento - Data_Vencimento</w:t>
      </w:r>
    </w:p>
    <w:p>
      <w:pPr>
        <w:pStyle w:val="ListBullet"/>
      </w:pPr>
      <w:r>
        <w:rPr>
          <w:sz w:val="18"/>
        </w:rPr>
        <w:t>Flag_Inadimplente (status = 'Atrasado')</w:t>
      </w:r>
    </w:p>
    <w:p>
      <w:pPr>
        <w:pStyle w:val="ListBullet"/>
      </w:pPr>
      <w:r>
        <w:rPr>
          <w:sz w:val="18"/>
        </w:rPr>
        <w:t>Enriquece dim_cliente com segmento: Ativo / Novo / Inativo</w:t>
      </w:r>
    </w:p>
    <w:p>
      <w:pPr>
        <w:pStyle w:val="ListBullet"/>
      </w:pPr>
      <w:r>
        <w:rPr>
          <w:sz w:val="18"/>
        </w:rPr>
        <w:t>Gera resumo_inadimplencia por cliente/mês</w:t>
      </w:r>
    </w:p>
    <w:p>
      <w:r>
        <w:rPr>
          <w:b/>
          <w:sz w:val="20"/>
        </w:rPr>
        <w:t>03_transform_metas.inc — Indicadores 2,3,18</w:t>
      </w:r>
    </w:p>
    <w:p>
      <w:pPr>
        <w:pStyle w:val="ListBullet"/>
      </w:pPr>
      <w:r>
        <w:rPr>
          <w:sz w:val="18"/>
        </w:rPr>
        <w:t>Junta metas com realizado (resumo_faturamento_mensal) via ApplyMap</w:t>
      </w:r>
    </w:p>
    <w:p>
      <w:pPr>
        <w:pStyle w:val="ListBullet"/>
      </w:pPr>
      <w:r>
        <w:rPr>
          <w:sz w:val="18"/>
        </w:rPr>
        <w:t>Calcula Perc_Atingimento = Fat_Mensal / Valor_Meta</w:t>
      </w:r>
    </w:p>
    <w:p>
      <w:pPr>
        <w:pStyle w:val="ListBullet"/>
      </w:pPr>
      <w:r>
        <w:rPr>
          <w:sz w:val="18"/>
        </w:rPr>
        <w:t>Gera resumo_metas_gerencia por gerência/mês</w:t>
      </w:r>
    </w:p>
    <w:p>
      <w:pPr>
        <w:pStyle w:val="Heading2"/>
      </w:pPr>
      <w:r>
        <w:rPr>
          <w:color w:val="0D2B55"/>
        </w:rPr>
        <w:t>5.2 Padrão anti-chave-sintética</w:t>
      </w:r>
    </w:p>
    <w:p>
      <w:r>
        <w:rPr>
          <w:b w:val="0"/>
          <w:sz w:val="20"/>
        </w:rPr>
        <w:t>Todas as transformações usam ApplyMap / MAPPING LOAD em vez de JOIN para enriquecer as tabelas fato com atributos dimensionais, evitando loops e chaves sintéticas no modelo do Qlik.</w:t>
      </w:r>
    </w:p>
    <w:p>
      <w:pPr>
        <w:pStyle w:val="Heading2"/>
      </w:pPr>
      <w:r>
        <w:rPr>
          <w:color w:val="0D2B55"/>
        </w:rPr>
        <w:t>5.3 Como executar</w:t>
      </w:r>
    </w:p>
    <w:p>
      <w:pPr>
        <w:pStyle w:val="NoSpacing"/>
        <w:shd w:val="clear" w:color="auto" w:fill="EEF2F8"/>
      </w:pPr>
      <w:r>
        <w:rPr>
          <w:rFonts w:ascii="Courier New" w:hAnsi="Courier New"/>
          <w:color w:val="1A4A8A"/>
          <w:sz w:val="18"/>
        </w:rPr>
        <w:t>$(Must_Include=[lib://DataFiles/Transformacao/main_transform.inc]);</w:t>
      </w:r>
    </w:p>
    <w:p>
      <w:pPr>
        <w:pBdr>
          <w:bottom w:val="single" w:sz="6" w:space="1" w:color="2E7DD6"/>
        </w:pBdr>
      </w:pPr>
    </w:p>
    <w:p>
      <w:pPr>
        <w:pStyle w:val="Heading1"/>
      </w:pPr>
      <w:r>
        <w:rPr>
          <w:color w:val="0D2B55"/>
        </w:rPr>
        <w:t>6. Agendamento de Carga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6912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r>
              <w:rPr>
                <w:sz w:val="18"/>
              </w:rPr>
              <w:t>Tipo</w:t>
            </w:r>
          </w:p>
        </w:tc>
        <w:tc>
          <w:tcPr>
            <w:tcW w:type="dxa" w:w="6912"/>
            <w:shd w:val="clear" w:color="auto" w:fill="F4F7FC"/>
          </w:tcPr>
          <w:p>
            <w:r>
              <w:rPr>
                <w:sz w:val="18"/>
              </w:rPr>
              <w:t>Reload Task (Qlik Cloud)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Frequência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18"/>
              </w:rPr>
              <w:t>Diária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r>
              <w:rPr>
                <w:sz w:val="18"/>
              </w:rPr>
              <w:t>Horário</w:t>
            </w:r>
          </w:p>
        </w:tc>
        <w:tc>
          <w:tcPr>
            <w:tcW w:type="dxa" w:w="6912"/>
            <w:shd w:val="clear" w:color="auto" w:fill="F4F7FC"/>
          </w:tcPr>
          <w:p>
            <w:r>
              <w:rPr>
                <w:sz w:val="18"/>
              </w:rPr>
              <w:t>06:00 (fuso horário local)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App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18"/>
              </w:rPr>
              <w:t>Performance Comercial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r>
              <w:rPr>
                <w:sz w:val="18"/>
              </w:rPr>
              <w:t>Script</w:t>
            </w:r>
          </w:p>
        </w:tc>
        <w:tc>
          <w:tcPr>
            <w:tcW w:type="dxa" w:w="6912"/>
            <w:shd w:val="clear" w:color="auto" w:fill="F4F7FC"/>
          </w:tcPr>
          <w:p>
            <w:r>
              <w:rPr>
                <w:sz w:val="18"/>
              </w:rPr>
              <w:t>main_load.inc → main_transform.inc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Notificação em falha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18"/>
              </w:rPr>
              <w:t>E-mail para o Analista de BI responsável</w:t>
            </w:r>
          </w:p>
        </w:tc>
      </w:tr>
    </w:tbl>
    <w:p>
      <w:pPr>
        <w:pBdr>
          <w:bottom w:val="single" w:sz="6" w:space="1" w:color="2E7DD6"/>
        </w:pBdr>
      </w:pPr>
    </w:p>
    <w:p>
      <w:pPr>
        <w:pStyle w:val="Heading1"/>
      </w:pPr>
      <w:r>
        <w:rPr>
          <w:color w:val="0D2B55"/>
        </w:rPr>
        <w:t>7. Section Access (Controle de Acesso)</w:t>
      </w:r>
    </w:p>
    <w:p>
      <w:r>
        <w:rPr>
          <w:b w:val="0"/>
          <w:sz w:val="20"/>
        </w:rPr>
        <w:t>Consultor vê apenas os próprios dados, Gerente Regional vê sua gerência, Diretor vê tudo.</w:t>
      </w:r>
    </w:p>
    <w:p>
      <w:pPr>
        <w:pStyle w:val="NoSpacing"/>
        <w:shd w:val="clear" w:color="auto" w:fill="EEF2F8"/>
      </w:pPr>
      <w:r>
        <w:rPr>
          <w:rFonts w:ascii="Courier New" w:hAnsi="Courier New"/>
          <w:color w:val="1A4A8A"/>
          <w:sz w:val="18"/>
        </w:rPr>
        <w:t>Section Access;</w:t>
        <w:br/>
        <w:t>LOAD * INLINE [</w:t>
        <w:br/>
        <w:t xml:space="preserve">    ACCESS,  USERID,           OMIT</w:t>
        <w:br/>
        <w:t xml:space="preserve">    ADMIN,   DIRETOR_001,</w:t>
        <w:br/>
        <w:t xml:space="preserve">    USER,    GERENTE_SUL,      ID_Consultor</w:t>
        <w:br/>
        <w:t xml:space="preserve">    USER,    CONSULTOR_001,    ID_Consultor; Gerencia_Regional; Regiao</w:t>
        <w:br/>
        <w:t>];</w:t>
        <w:br/>
        <w:t>Section Application;</w:t>
      </w:r>
    </w:p>
    <w:p>
      <w:r>
        <w:rPr>
          <w:b/>
          <w:sz w:val="20"/>
        </w:rPr>
        <w:t>Passos para configurar no Qlik Cloud:</w:t>
      </w:r>
    </w:p>
    <w:p>
      <w:pPr>
        <w:pStyle w:val="ListNumber"/>
      </w:pPr>
      <w:r>
        <w:rPr>
          <w:sz w:val="18"/>
        </w:rPr>
        <w:t>Criar grupos: DIRETORES, GERENTES_REGIONAIS, CONSULTORES</w:t>
      </w:r>
    </w:p>
    <w:p>
      <w:pPr>
        <w:pStyle w:val="ListNumber"/>
      </w:pPr>
      <w:r>
        <w:rPr>
          <w:sz w:val="18"/>
        </w:rPr>
        <w:t>Mapear e-mails corporativos nos grupos no Management Console</w:t>
      </w:r>
    </w:p>
    <w:p>
      <w:pPr>
        <w:pStyle w:val="ListNumber"/>
      </w:pPr>
      <w:r>
        <w:rPr>
          <w:sz w:val="18"/>
        </w:rPr>
        <w:t>Substituir USERID pelos e-mails ou grupos reais</w:t>
      </w:r>
    </w:p>
    <w:p>
      <w:pPr>
        <w:pStyle w:val="ListNumber"/>
      </w:pPr>
      <w:r>
        <w:rPr>
          <w:sz w:val="18"/>
        </w:rPr>
        <w:t>Testar com usuário de cada perfil antes do go-live</w:t>
      </w:r>
    </w:p>
    <w:p>
      <w:pPr>
        <w:pStyle w:val="ListNumber"/>
      </w:pPr>
      <w:r>
        <w:rPr>
          <w:sz w:val="18"/>
        </w:rPr>
        <w:t>Documentar matriz de acesso em Documentacao/matriz_acesso.md</w:t>
      </w:r>
    </w:p>
    <w:p>
      <w:pPr>
        <w:pBdr>
          <w:bottom w:val="single" w:sz="6" w:space="1" w:color="2E7DD6"/>
        </w:pBdr>
      </w:pPr>
    </w:p>
    <w:p>
      <w:pPr>
        <w:pStyle w:val="Heading1"/>
      </w:pPr>
      <w:r>
        <w:rPr>
          <w:color w:val="0D2B55"/>
        </w:rPr>
        <w:t>8. Indicadores Entregues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432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92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3312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Regra de Cálculo</w:t>
            </w:r>
          </w:p>
        </w:tc>
        <w:tc>
          <w:tcPr>
            <w:tcW w:type="dxa" w:w="2304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Script</w:t>
            </w:r>
          </w:p>
        </w:tc>
        <w:tc>
          <w:tcPr>
            <w:tcW w:type="dxa" w:w="576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Un.</w:t>
            </w:r>
          </w:p>
        </w:tc>
        <w:tc>
          <w:tcPr>
            <w:tcW w:type="dxa" w:w="1584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Meta</w:t>
            </w:r>
          </w:p>
        </w:tc>
      </w:tr>
      <w:tr>
        <w:tc>
          <w:tcPr>
            <w:tcW w:type="dxa" w:w="432"/>
            <w:shd w:val="clear" w:color="auto" w:fill="F4F7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592"/>
            <w:shd w:val="clear" w:color="auto" w:fill="F4F7FC"/>
          </w:tcPr>
          <w:p>
            <w:r>
              <w:rPr>
                <w:sz w:val="18"/>
              </w:rPr>
              <w:t>Faturamento Realizado</w:t>
            </w:r>
          </w:p>
        </w:tc>
        <w:tc>
          <w:tcPr>
            <w:tcW w:type="dxa" w:w="3312"/>
            <w:shd w:val="clear" w:color="auto" w:fill="F4F7FC"/>
          </w:tcPr>
          <w:p>
            <w:r>
              <w:rPr>
                <w:sz w:val="18"/>
              </w:rPr>
              <w:t>SUM(Valor_Venda)</w:t>
            </w:r>
          </w:p>
        </w:tc>
        <w:tc>
          <w:tcPr>
            <w:tcW w:type="dxa" w:w="2304"/>
            <w:shd w:val="clear" w:color="auto" w:fill="F4F7FC"/>
          </w:tcPr>
          <w:p>
            <w:r>
              <w:rPr>
                <w:sz w:val="18"/>
              </w:rPr>
              <w:t>transform_faturamento</w:t>
            </w:r>
          </w:p>
        </w:tc>
        <w:tc>
          <w:tcPr>
            <w:tcW w:type="dxa" w:w="576"/>
            <w:shd w:val="clear" w:color="auto" w:fill="F4F7FC"/>
          </w:tcPr>
          <w:p>
            <w:r>
              <w:rPr>
                <w:sz w:val="18"/>
              </w:rPr>
              <w:t>R$</w:t>
            </w:r>
          </w:p>
        </w:tc>
        <w:tc>
          <w:tcPr>
            <w:tcW w:type="dxa" w:w="1584"/>
            <w:shd w:val="clear" w:color="auto" w:fill="F4F7FC"/>
          </w:tcPr>
          <w:p>
            <w:r>
              <w:rPr>
                <w:sz w:val="18"/>
              </w:rPr>
              <w:t>Por consultor/mês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Meta de Faturamento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SUM(Valor_Meta)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transform_metas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R$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Início do mês</w:t>
            </w:r>
          </w:p>
        </w:tc>
      </w:tr>
      <w:tr>
        <w:tc>
          <w:tcPr>
            <w:tcW w:type="dxa" w:w="432"/>
            <w:shd w:val="clear" w:color="auto" w:fill="F4F7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592"/>
            <w:shd w:val="clear" w:color="auto" w:fill="F4F7FC"/>
          </w:tcPr>
          <w:p>
            <w:r>
              <w:rPr>
                <w:sz w:val="18"/>
              </w:rPr>
              <w:t>% Atingimento de Meta</w:t>
            </w:r>
          </w:p>
        </w:tc>
        <w:tc>
          <w:tcPr>
            <w:tcW w:type="dxa" w:w="3312"/>
            <w:shd w:val="clear" w:color="auto" w:fill="F4F7FC"/>
          </w:tcPr>
          <w:p>
            <w:r>
              <w:rPr>
                <w:sz w:val="18"/>
              </w:rPr>
              <w:t>Faturamento / Meta</w:t>
            </w:r>
          </w:p>
        </w:tc>
        <w:tc>
          <w:tcPr>
            <w:tcW w:type="dxa" w:w="2304"/>
            <w:shd w:val="clear" w:color="auto" w:fill="F4F7FC"/>
          </w:tcPr>
          <w:p>
            <w:r>
              <w:rPr>
                <w:sz w:val="18"/>
              </w:rPr>
              <w:t>transform_metas</w:t>
            </w:r>
          </w:p>
        </w:tc>
        <w:tc>
          <w:tcPr>
            <w:tcW w:type="dxa" w:w="576"/>
            <w:shd w:val="clear" w:color="auto" w:fill="F4F7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1584"/>
            <w:shd w:val="clear" w:color="auto" w:fill="F4F7FC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Ticket Médio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SUM(Venda) / COUNT(Pedidos)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transform_faturamento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R$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A definir</w:t>
            </w:r>
          </w:p>
        </w:tc>
      </w:tr>
      <w:tr>
        <w:tc>
          <w:tcPr>
            <w:tcW w:type="dxa" w:w="432"/>
            <w:shd w:val="clear" w:color="auto" w:fill="F4F7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592"/>
            <w:shd w:val="clear" w:color="auto" w:fill="F4F7FC"/>
          </w:tcPr>
          <w:p>
            <w:r>
              <w:rPr>
                <w:sz w:val="18"/>
              </w:rPr>
              <w:t>Taxa de Conversão</w:t>
            </w:r>
          </w:p>
        </w:tc>
        <w:tc>
          <w:tcPr>
            <w:tcW w:type="dxa" w:w="3312"/>
            <w:shd w:val="clear" w:color="auto" w:fill="F4F7FC"/>
          </w:tcPr>
          <w:p>
            <w:r>
              <w:rPr>
                <w:sz w:val="18"/>
              </w:rPr>
              <w:t>COUNT(Fechados) / COUNT(Total)</w:t>
            </w:r>
          </w:p>
        </w:tc>
        <w:tc>
          <w:tcPr>
            <w:tcW w:type="dxa" w:w="2304"/>
            <w:shd w:val="clear" w:color="auto" w:fill="F4F7FC"/>
          </w:tcPr>
          <w:p>
            <w:r>
              <w:rPr>
                <w:sz w:val="18"/>
              </w:rPr>
              <w:t>transform_faturamento</w:t>
            </w:r>
          </w:p>
        </w:tc>
        <w:tc>
          <w:tcPr>
            <w:tcW w:type="dxa" w:w="576"/>
            <w:shd w:val="clear" w:color="auto" w:fill="F4F7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1584"/>
            <w:shd w:val="clear" w:color="auto" w:fill="F4F7FC"/>
          </w:tcPr>
          <w:p>
            <w:r>
              <w:rPr>
                <w:sz w:val="18"/>
              </w:rPr>
              <w:t>A definir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Inadimplência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SUM(Atraso) / SUM(Total)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transform_financeiro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&lt; 5%</w:t>
            </w:r>
          </w:p>
        </w:tc>
      </w:tr>
      <w:tr>
        <w:tc>
          <w:tcPr>
            <w:tcW w:type="dxa" w:w="432"/>
            <w:shd w:val="clear" w:color="auto" w:fill="F4F7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592"/>
            <w:shd w:val="clear" w:color="auto" w:fill="F4F7FC"/>
          </w:tcPr>
          <w:p>
            <w:r>
              <w:rPr>
                <w:sz w:val="18"/>
              </w:rPr>
              <w:t>Qtd de Pedidos</w:t>
            </w:r>
          </w:p>
        </w:tc>
        <w:tc>
          <w:tcPr>
            <w:tcW w:type="dxa" w:w="3312"/>
            <w:shd w:val="clear" w:color="auto" w:fill="F4F7FC"/>
          </w:tcPr>
          <w:p>
            <w:r>
              <w:rPr>
                <w:sz w:val="18"/>
              </w:rPr>
              <w:t>COUNT(ID_Pedido)</w:t>
            </w:r>
          </w:p>
        </w:tc>
        <w:tc>
          <w:tcPr>
            <w:tcW w:type="dxa" w:w="2304"/>
            <w:shd w:val="clear" w:color="auto" w:fill="F4F7FC"/>
          </w:tcPr>
          <w:p>
            <w:r>
              <w:rPr>
                <w:sz w:val="18"/>
              </w:rPr>
              <w:t>transform_faturamento</w:t>
            </w:r>
          </w:p>
        </w:tc>
        <w:tc>
          <w:tcPr>
            <w:tcW w:type="dxa" w:w="576"/>
            <w:shd w:val="clear" w:color="auto" w:fill="F4F7FC"/>
          </w:tcPr>
          <w:p>
            <w:r>
              <w:rPr>
                <w:sz w:val="18"/>
              </w:rPr>
              <w:t>un</w:t>
            </w:r>
          </w:p>
        </w:tc>
        <w:tc>
          <w:tcPr>
            <w:tcW w:type="dxa" w:w="1584"/>
            <w:shd w:val="clear" w:color="auto" w:fill="F4F7FC"/>
          </w:tcPr>
          <w:p>
            <w:r>
              <w:rPr>
                <w:sz w:val="18"/>
              </w:rPr>
              <w:t>Por região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Faturamento por Região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SUM(Venda) GROUP BY Regiao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transform_faturamento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R$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Por consultor</w:t>
            </w:r>
          </w:p>
        </w:tc>
      </w:tr>
      <w:tr>
        <w:tc>
          <w:tcPr>
            <w:tcW w:type="dxa" w:w="432"/>
            <w:shd w:val="clear" w:color="auto" w:fill="F4F7FC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592"/>
            <w:shd w:val="clear" w:color="auto" w:fill="F4F7FC"/>
          </w:tcPr>
          <w:p>
            <w:r>
              <w:rPr>
                <w:sz w:val="18"/>
              </w:rPr>
              <w:t>Faturamento por Consultor</w:t>
            </w:r>
          </w:p>
        </w:tc>
        <w:tc>
          <w:tcPr>
            <w:tcW w:type="dxa" w:w="3312"/>
            <w:shd w:val="clear" w:color="auto" w:fill="F4F7FC"/>
          </w:tcPr>
          <w:p>
            <w:r>
              <w:rPr>
                <w:sz w:val="18"/>
              </w:rPr>
              <w:t>SUM(Venda) GROUP BY Consultor</w:t>
            </w:r>
          </w:p>
        </w:tc>
        <w:tc>
          <w:tcPr>
            <w:tcW w:type="dxa" w:w="2304"/>
            <w:shd w:val="clear" w:color="auto" w:fill="F4F7FC"/>
          </w:tcPr>
          <w:p>
            <w:r>
              <w:rPr>
                <w:sz w:val="18"/>
              </w:rPr>
              <w:t>transform_faturamento</w:t>
            </w:r>
          </w:p>
        </w:tc>
        <w:tc>
          <w:tcPr>
            <w:tcW w:type="dxa" w:w="576"/>
            <w:shd w:val="clear" w:color="auto" w:fill="F4F7FC"/>
          </w:tcPr>
          <w:p>
            <w:r>
              <w:rPr>
                <w:sz w:val="18"/>
              </w:rPr>
              <w:t>R$</w:t>
            </w:r>
          </w:p>
        </w:tc>
        <w:tc>
          <w:tcPr>
            <w:tcW w:type="dxa" w:w="1584"/>
            <w:shd w:val="clear" w:color="auto" w:fill="F4F7FC"/>
          </w:tcPr>
          <w:p>
            <w:r>
              <w:rPr>
                <w:sz w:val="18"/>
              </w:rPr>
              <w:t>A definir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Faturamento por Produto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SUM(Venda) GROUP BY Produto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transform_faturamento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R$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A definir</w:t>
            </w:r>
          </w:p>
        </w:tc>
      </w:tr>
      <w:tr>
        <w:tc>
          <w:tcPr>
            <w:tcW w:type="dxa" w:w="432"/>
            <w:shd w:val="clear" w:color="auto" w:fill="F4F7FC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592"/>
            <w:shd w:val="clear" w:color="auto" w:fill="F4F7FC"/>
          </w:tcPr>
          <w:p>
            <w:r>
              <w:rPr>
                <w:sz w:val="18"/>
              </w:rPr>
              <w:t>Faturamento por Canal</w:t>
            </w:r>
          </w:p>
        </w:tc>
        <w:tc>
          <w:tcPr>
            <w:tcW w:type="dxa" w:w="3312"/>
            <w:shd w:val="clear" w:color="auto" w:fill="F4F7FC"/>
          </w:tcPr>
          <w:p>
            <w:r>
              <w:rPr>
                <w:sz w:val="18"/>
              </w:rPr>
              <w:t>SUM(Venda) GROUP BY Canal_Venda</w:t>
            </w:r>
          </w:p>
        </w:tc>
        <w:tc>
          <w:tcPr>
            <w:tcW w:type="dxa" w:w="2304"/>
            <w:shd w:val="clear" w:color="auto" w:fill="F4F7FC"/>
          </w:tcPr>
          <w:p>
            <w:r>
              <w:rPr>
                <w:sz w:val="18"/>
              </w:rPr>
              <w:t>transform_faturamento</w:t>
            </w:r>
          </w:p>
        </w:tc>
        <w:tc>
          <w:tcPr>
            <w:tcW w:type="dxa" w:w="576"/>
            <w:shd w:val="clear" w:color="auto" w:fill="F4F7FC"/>
          </w:tcPr>
          <w:p>
            <w:r>
              <w:rPr>
                <w:sz w:val="18"/>
              </w:rPr>
              <w:t>R$</w:t>
            </w:r>
          </w:p>
        </w:tc>
        <w:tc>
          <w:tcPr>
            <w:tcW w:type="dxa" w:w="1584"/>
            <w:shd w:val="clear" w:color="auto" w:fill="F4F7FC"/>
          </w:tcPr>
          <w:p>
            <w:r>
              <w:rPr>
                <w:sz w:val="18"/>
              </w:rPr>
              <w:t>Positivo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Crescimento MoM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(Mês Atual - Ant.) / Ant.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transform_faturamento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Positivo</w:t>
            </w:r>
          </w:p>
        </w:tc>
      </w:tr>
      <w:tr>
        <w:tc>
          <w:tcPr>
            <w:tcW w:type="dxa" w:w="432"/>
            <w:shd w:val="clear" w:color="auto" w:fill="F4F7FC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592"/>
            <w:shd w:val="clear" w:color="auto" w:fill="F4F7FC"/>
          </w:tcPr>
          <w:p>
            <w:r>
              <w:rPr>
                <w:sz w:val="18"/>
              </w:rPr>
              <w:t>Crescimento YoY</w:t>
            </w:r>
          </w:p>
        </w:tc>
        <w:tc>
          <w:tcPr>
            <w:tcW w:type="dxa" w:w="3312"/>
            <w:shd w:val="clear" w:color="auto" w:fill="F4F7FC"/>
          </w:tcPr>
          <w:p>
            <w:r>
              <w:rPr>
                <w:sz w:val="18"/>
              </w:rPr>
              <w:t>(Ano Atual - Ant.) / Ant.</w:t>
            </w:r>
          </w:p>
        </w:tc>
        <w:tc>
          <w:tcPr>
            <w:tcW w:type="dxa" w:w="2304"/>
            <w:shd w:val="clear" w:color="auto" w:fill="F4F7FC"/>
          </w:tcPr>
          <w:p>
            <w:r>
              <w:rPr>
                <w:sz w:val="18"/>
              </w:rPr>
              <w:t>transform_faturamento</w:t>
            </w:r>
          </w:p>
        </w:tc>
        <w:tc>
          <w:tcPr>
            <w:tcW w:type="dxa" w:w="576"/>
            <w:shd w:val="clear" w:color="auto" w:fill="F4F7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1584"/>
            <w:shd w:val="clear" w:color="auto" w:fill="F4F7FC"/>
          </w:tcPr>
          <w:p>
            <w:r>
              <w:rPr>
                <w:sz w:val="18"/>
              </w:rPr>
              <w:t>A definir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Qtd Clientes Ativos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COUNT(DISTINCT clientes c/ venda)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transform_financeiro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un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A definir</w:t>
            </w:r>
          </w:p>
        </w:tc>
      </w:tr>
      <w:tr>
        <w:tc>
          <w:tcPr>
            <w:tcW w:type="dxa" w:w="432"/>
            <w:shd w:val="clear" w:color="auto" w:fill="F4F7FC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592"/>
            <w:shd w:val="clear" w:color="auto" w:fill="F4F7FC"/>
          </w:tcPr>
          <w:p>
            <w:r>
              <w:rPr>
                <w:sz w:val="18"/>
              </w:rPr>
              <w:t>Novos Clientes</w:t>
            </w:r>
          </w:p>
        </w:tc>
        <w:tc>
          <w:tcPr>
            <w:tcW w:type="dxa" w:w="3312"/>
            <w:shd w:val="clear" w:color="auto" w:fill="F4F7FC"/>
          </w:tcPr>
          <w:p>
            <w:r>
              <w:rPr>
                <w:sz w:val="18"/>
              </w:rPr>
              <w:t>COUNT(1ª compra no mês)</w:t>
            </w:r>
          </w:p>
        </w:tc>
        <w:tc>
          <w:tcPr>
            <w:tcW w:type="dxa" w:w="2304"/>
            <w:shd w:val="clear" w:color="auto" w:fill="F4F7FC"/>
          </w:tcPr>
          <w:p>
            <w:r>
              <w:rPr>
                <w:sz w:val="18"/>
              </w:rPr>
              <w:t>transform_financeiro</w:t>
            </w:r>
          </w:p>
        </w:tc>
        <w:tc>
          <w:tcPr>
            <w:tcW w:type="dxa" w:w="576"/>
            <w:shd w:val="clear" w:color="auto" w:fill="F4F7FC"/>
          </w:tcPr>
          <w:p>
            <w:r>
              <w:rPr>
                <w:sz w:val="18"/>
              </w:rPr>
              <w:t>un</w:t>
            </w:r>
          </w:p>
        </w:tc>
        <w:tc>
          <w:tcPr>
            <w:tcW w:type="dxa" w:w="1584"/>
            <w:shd w:val="clear" w:color="auto" w:fill="F4F7FC"/>
          </w:tcPr>
          <w:p>
            <w:r>
              <w:rPr>
                <w:sz w:val="18"/>
              </w:rPr>
              <w:t>A definir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Clientes Inativos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COUNT(última compra &gt; 90d)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transform_financeiro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un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"/>
            <w:shd w:val="clear" w:color="auto" w:fill="F4F7FC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592"/>
            <w:shd w:val="clear" w:color="auto" w:fill="F4F7FC"/>
          </w:tcPr>
          <w:p>
            <w:r>
              <w:rPr>
                <w:sz w:val="18"/>
              </w:rPr>
              <w:t>Prazo Médio de Pagamento</w:t>
            </w:r>
          </w:p>
        </w:tc>
        <w:tc>
          <w:tcPr>
            <w:tcW w:type="dxa" w:w="3312"/>
            <w:shd w:val="clear" w:color="auto" w:fill="F4F7FC"/>
          </w:tcPr>
          <w:p>
            <w:r>
              <w:rPr>
                <w:sz w:val="18"/>
              </w:rPr>
              <w:t>AVG(Pagamento - Vencimento)</w:t>
            </w:r>
          </w:p>
        </w:tc>
        <w:tc>
          <w:tcPr>
            <w:tcW w:type="dxa" w:w="2304"/>
            <w:shd w:val="clear" w:color="auto" w:fill="F4F7FC"/>
          </w:tcPr>
          <w:p>
            <w:r>
              <w:rPr>
                <w:sz w:val="18"/>
              </w:rPr>
              <w:t>transform_financeiro</w:t>
            </w:r>
          </w:p>
        </w:tc>
        <w:tc>
          <w:tcPr>
            <w:tcW w:type="dxa" w:w="576"/>
            <w:shd w:val="clear" w:color="auto" w:fill="F4F7FC"/>
          </w:tcPr>
          <w:p>
            <w:r>
              <w:rPr>
                <w:sz w:val="18"/>
              </w:rPr>
              <w:t>dias</w:t>
            </w:r>
          </w:p>
        </w:tc>
        <w:tc>
          <w:tcPr>
            <w:tcW w:type="dxa" w:w="1584"/>
            <w:shd w:val="clear" w:color="auto" w:fill="F4F7FC"/>
          </w:tcPr>
          <w:p>
            <w:r>
              <w:rPr>
                <w:sz w:val="18"/>
              </w:rPr>
              <w:t>&lt; 30 dias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Valor Médio por Pedido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SUM(Venda) / COUNT(Pedidos)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transform_metas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R$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A definir</w:t>
            </w:r>
          </w:p>
        </w:tc>
      </w:tr>
      <w:tr>
        <w:tc>
          <w:tcPr>
            <w:tcW w:type="dxa" w:w="432"/>
            <w:shd w:val="clear" w:color="auto" w:fill="F4F7FC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592"/>
            <w:shd w:val="clear" w:color="auto" w:fill="F4F7FC"/>
          </w:tcPr>
          <w:p>
            <w:r>
              <w:rPr>
                <w:sz w:val="18"/>
              </w:rPr>
              <w:t>% Desconto Médio</w:t>
            </w:r>
          </w:p>
        </w:tc>
        <w:tc>
          <w:tcPr>
            <w:tcW w:type="dxa" w:w="3312"/>
            <w:shd w:val="clear" w:color="auto" w:fill="F4F7FC"/>
          </w:tcPr>
          <w:p>
            <w:r>
              <w:rPr>
                <w:sz w:val="18"/>
              </w:rPr>
              <w:t>SUM(Desconto) / SUM(Bruto)</w:t>
            </w:r>
          </w:p>
        </w:tc>
        <w:tc>
          <w:tcPr>
            <w:tcW w:type="dxa" w:w="2304"/>
            <w:shd w:val="clear" w:color="auto" w:fill="F4F7FC"/>
          </w:tcPr>
          <w:p>
            <w:r>
              <w:rPr>
                <w:sz w:val="18"/>
              </w:rPr>
              <w:t>transform_faturamento</w:t>
            </w:r>
          </w:p>
        </w:tc>
        <w:tc>
          <w:tcPr>
            <w:tcW w:type="dxa" w:w="576"/>
            <w:shd w:val="clear" w:color="auto" w:fill="F4F7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1584"/>
            <w:shd w:val="clear" w:color="auto" w:fill="F4F7FC"/>
          </w:tcPr>
          <w:p>
            <w:r>
              <w:rPr>
                <w:sz w:val="18"/>
              </w:rPr>
              <w:t>&lt; 10%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Margem de Contribuição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SUM(Venda-Custo) / SUM(Venda)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transform_faturamento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&gt; 30%</w:t>
            </w:r>
          </w:p>
        </w:tc>
      </w:tr>
    </w:tbl>
    <w:p>
      <w:pPr>
        <w:pBdr>
          <w:bottom w:val="single" w:sz="6" w:space="1" w:color="2E7DD6"/>
        </w:pBdr>
      </w:pPr>
    </w:p>
    <w:p>
      <w:pPr>
        <w:pStyle w:val="Heading1"/>
      </w:pPr>
      <w:r>
        <w:rPr>
          <w:color w:val="0D2B55"/>
        </w:rPr>
        <w:t>9. Estrutura das Sheets do 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Sheet</w:t>
            </w:r>
          </w:p>
        </w:tc>
        <w:tc>
          <w:tcPr>
            <w:tcW w:type="dxa" w:w="3600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2592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Público</w:t>
            </w:r>
          </w:p>
        </w:tc>
        <w:tc>
          <w:tcPr>
            <w:tcW w:type="dxa" w:w="2448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Indicadores</w:t>
            </w:r>
          </w:p>
        </w:tc>
      </w:tr>
      <w:tr>
        <w:tc>
          <w:tcPr>
            <w:tcW w:type="dxa" w:w="2880"/>
            <w:shd w:val="clear" w:color="auto" w:fill="F4F7FC"/>
          </w:tcPr>
          <w:p>
            <w:r>
              <w:rPr>
                <w:sz w:val="18"/>
              </w:rPr>
              <w:t>01 — Visão Executiva</w:t>
            </w:r>
          </w:p>
        </w:tc>
        <w:tc>
          <w:tcPr>
            <w:tcW w:type="dxa" w:w="3600"/>
            <w:shd w:val="clear" w:color="auto" w:fill="F4F7FC"/>
          </w:tcPr>
          <w:p>
            <w:r>
              <w:rPr>
                <w:sz w:val="18"/>
              </w:rPr>
              <w:t>Resultado geral do período</w:t>
            </w:r>
          </w:p>
        </w:tc>
        <w:tc>
          <w:tcPr>
            <w:tcW w:type="dxa" w:w="2592"/>
            <w:shd w:val="clear" w:color="auto" w:fill="F4F7FC"/>
          </w:tcPr>
          <w:p>
            <w:r>
              <w:rPr>
                <w:sz w:val="18"/>
              </w:rPr>
              <w:t>Diretor, Gerente</w:t>
            </w:r>
          </w:p>
        </w:tc>
        <w:tc>
          <w:tcPr>
            <w:tcW w:type="dxa" w:w="2448"/>
            <w:shd w:val="clear" w:color="auto" w:fill="F4F7FC"/>
          </w:tcPr>
          <w:p>
            <w:r>
              <w:rPr>
                <w:sz w:val="18"/>
              </w:rPr>
              <w:t>1, 2, 3, 12, 13, 20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02 — Performance Comercial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Ranking por consultor e região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Gerente Comercial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5, 8, 9, 3 por consultor</w:t>
            </w:r>
          </w:p>
        </w:tc>
      </w:tr>
      <w:tr>
        <w:tc>
          <w:tcPr>
            <w:tcW w:type="dxa" w:w="2880"/>
            <w:shd w:val="clear" w:color="auto" w:fill="F4F7FC"/>
          </w:tcPr>
          <w:p>
            <w:r>
              <w:rPr>
                <w:sz w:val="18"/>
              </w:rPr>
              <w:t>03 — Análise de Produtos</w:t>
            </w:r>
          </w:p>
        </w:tc>
        <w:tc>
          <w:tcPr>
            <w:tcW w:type="dxa" w:w="3600"/>
            <w:shd w:val="clear" w:color="auto" w:fill="F4F7FC"/>
          </w:tcPr>
          <w:p>
            <w:r>
              <w:rPr>
                <w:sz w:val="18"/>
              </w:rPr>
              <w:t>Rentabilidade por produto e canal</w:t>
            </w:r>
          </w:p>
        </w:tc>
        <w:tc>
          <w:tcPr>
            <w:tcW w:type="dxa" w:w="2592"/>
            <w:shd w:val="clear" w:color="auto" w:fill="F4F7FC"/>
          </w:tcPr>
          <w:p>
            <w:r>
              <w:rPr>
                <w:sz w:val="18"/>
              </w:rPr>
              <w:t>Analista, Gerente</w:t>
            </w:r>
          </w:p>
        </w:tc>
        <w:tc>
          <w:tcPr>
            <w:tcW w:type="dxa" w:w="2448"/>
            <w:shd w:val="clear" w:color="auto" w:fill="F4F7FC"/>
          </w:tcPr>
          <w:p>
            <w:r>
              <w:rPr>
                <w:sz w:val="18"/>
              </w:rPr>
              <w:t>10, 11, 19, 20, 18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04 — Financeiro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Saúde financeira e base de clientes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Financeiro, Diretor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6, 14, 15, 16, 17</w:t>
            </w:r>
          </w:p>
        </w:tc>
      </w:tr>
    </w:tbl>
    <w:p>
      <w:pPr>
        <w:pBdr>
          <w:bottom w:val="single" w:sz="6" w:space="1" w:color="2E7DD6"/>
        </w:pBdr>
      </w:pPr>
    </w:p>
    <w:p>
      <w:pPr>
        <w:pStyle w:val="Heading1"/>
      </w:pPr>
      <w:r>
        <w:rPr>
          <w:color w:val="0D2B55"/>
        </w:rPr>
        <w:t>10. Pendências e Próximos Passos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52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6480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Ação</w:t>
            </w:r>
          </w:p>
        </w:tc>
        <w:tc>
          <w:tcPr>
            <w:tcW w:type="dxa" w:w="3888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Responsável</w:t>
            </w:r>
          </w:p>
        </w:tc>
      </w:tr>
      <w:tr>
        <w:tc>
          <w:tcPr>
            <w:tcW w:type="dxa" w:w="1152"/>
            <w:shd w:val="clear" w:color="auto" w:fill="F4F7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480"/>
            <w:shd w:val="clear" w:color="auto" w:fill="F4F7FC"/>
          </w:tcPr>
          <w:p>
            <w:r>
              <w:rPr>
                <w:sz w:val="18"/>
              </w:rPr>
              <w:t>Validar credenciais de conexão no SQL Server real</w:t>
            </w:r>
          </w:p>
        </w:tc>
        <w:tc>
          <w:tcPr>
            <w:tcW w:type="dxa" w:w="3888"/>
            <w:shd w:val="clear" w:color="auto" w:fill="F4F7FC"/>
          </w:tcPr>
          <w:p>
            <w:r>
              <w:rPr>
                <w:sz w:val="18"/>
              </w:rPr>
              <w:t>Analista de BI + DBA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Criar Data Connection 'Protheus_SQLServer' no Qlik Cloud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Analista de BI</w:t>
            </w:r>
          </w:p>
        </w:tc>
      </w:tr>
      <w:tr>
        <w:tc>
          <w:tcPr>
            <w:tcW w:type="dxa" w:w="1152"/>
            <w:shd w:val="clear" w:color="auto" w:fill="F4F7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6480"/>
            <w:shd w:val="clear" w:color="auto" w:fill="F4F7FC"/>
          </w:tcPr>
          <w:p>
            <w:r>
              <w:rPr>
                <w:sz w:val="18"/>
              </w:rPr>
              <w:t>Executar reload completo com dados reais</w:t>
            </w:r>
          </w:p>
        </w:tc>
        <w:tc>
          <w:tcPr>
            <w:tcW w:type="dxa" w:w="3888"/>
            <w:shd w:val="clear" w:color="auto" w:fill="F4F7FC"/>
          </w:tcPr>
          <w:p>
            <w:r>
              <w:rPr>
                <w:sz w:val="18"/>
              </w:rPr>
              <w:t>Analista de BI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Construir as 4 sheets no Qlik Sense (usar storytelling.md)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Analista de BI</w:t>
            </w:r>
          </w:p>
        </w:tc>
      </w:tr>
      <w:tr>
        <w:tc>
          <w:tcPr>
            <w:tcW w:type="dxa" w:w="1152"/>
            <w:shd w:val="clear" w:color="auto" w:fill="F4F7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480"/>
            <w:shd w:val="clear" w:color="auto" w:fill="F4F7FC"/>
          </w:tcPr>
          <w:p>
            <w:r>
              <w:rPr>
                <w:sz w:val="18"/>
              </w:rPr>
              <w:t>Sessão UAT com Gerente Comercial (roteiro_validacao_usuario.md)</w:t>
            </w:r>
          </w:p>
        </w:tc>
        <w:tc>
          <w:tcPr>
            <w:tcW w:type="dxa" w:w="3888"/>
            <w:shd w:val="clear" w:color="auto" w:fill="F4F7FC"/>
          </w:tcPr>
          <w:p>
            <w:r>
              <w:rPr>
                <w:sz w:val="18"/>
              </w:rPr>
              <w:t>Analista de BI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Corrigir indicadores com divergências encontradas no UAT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Analista de BI</w:t>
            </w:r>
          </w:p>
        </w:tc>
      </w:tr>
      <w:tr>
        <w:tc>
          <w:tcPr>
            <w:tcW w:type="dxa" w:w="1152"/>
            <w:shd w:val="clear" w:color="auto" w:fill="F4F7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6480"/>
            <w:shd w:val="clear" w:color="auto" w:fill="F4F7FC"/>
          </w:tcPr>
          <w:p>
            <w:r>
              <w:rPr>
                <w:sz w:val="18"/>
              </w:rPr>
              <w:t>Configurar Section Access com usuários reais</w:t>
            </w:r>
          </w:p>
        </w:tc>
        <w:tc>
          <w:tcPr>
            <w:tcW w:type="dxa" w:w="3888"/>
            <w:shd w:val="clear" w:color="auto" w:fill="F4F7FC"/>
          </w:tcPr>
          <w:p>
            <w:r>
              <w:rPr>
                <w:sz w:val="18"/>
              </w:rPr>
              <w:t>Analista de BI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Configurar Reload Task diária às 6h no Qlik Cloud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Analista de BI</w:t>
            </w:r>
          </w:p>
        </w:tc>
      </w:tr>
      <w:tr>
        <w:tc>
          <w:tcPr>
            <w:tcW w:type="dxa" w:w="1152"/>
            <w:shd w:val="clear" w:color="auto" w:fill="F4F7FC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6480"/>
            <w:shd w:val="clear" w:color="auto" w:fill="F4F7FC"/>
          </w:tcPr>
          <w:p>
            <w:r>
              <w:rPr>
                <w:sz w:val="18"/>
              </w:rPr>
              <w:t>Criar Extracao/99_validacao_volume.inc (reconciliação de registros)</w:t>
            </w:r>
          </w:p>
        </w:tc>
        <w:tc>
          <w:tcPr>
            <w:tcW w:type="dxa" w:w="3888"/>
            <w:shd w:val="clear" w:color="auto" w:fill="F4F7FC"/>
          </w:tcPr>
          <w:p>
            <w:r>
              <w:rPr>
                <w:sz w:val="18"/>
              </w:rPr>
              <w:t>Analista de BI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Documentar ata de validação e comunicar go-live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Gerente Comercial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