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Scrip US#114 (MPU6050)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rtl w:val="0"/>
        </w:rPr>
        <w:t xml:space="preserve"> Estudo da documentação do Sensor MPU6050: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MPU-6000 and MPU-6050 Product Specification Revision 3.4.pdf (DataSheet)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 MPU-6000 and MPU-6050 Register Map and Descriptions Revision 4.2.pdf (Register Map)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rtl w:val="0"/>
        </w:rPr>
        <w:t xml:space="preserve"> Elaboração do fluxograma: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580" cy="3530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rtl w:val="0"/>
        </w:rPr>
        <w:t xml:space="preserve"> Desenvolvimento dos arquivos de driver responsáveis pela escrita e leitura do sensor por meio do barramento/protocolo I²C (Inter-Integrated Circuit) onde o Kit de Desenvolvimento FRDM-KL25z (MASTER) realiza a comunicação com MPU6050 (SLAVE) utilizando-se os pinos serial clock (SCL) e serial data (SDA) que representam os canais de clock e dados respectivamente.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846601" cy="291172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601" cy="291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Exemplo de comunicação I2C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rtl w:val="0"/>
        </w:rPr>
        <w:t xml:space="preserve"> As funções desenvolvidas do drive para escrita são baseadas na função (I2C_DRV_MasterSendDataBlocking) e as de leituras na função (I2C_DRV_MasterReceiveDataBlocking) do componente de comunicação I2C.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hanging="1276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7233506" cy="78680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3506" cy="78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Exemplo de função baseada em I2C_DRV_MasterReceiveDataBlocking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400040" cy="26695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Exemplo de função baseada na função MPU6050_ReadReg8() que também é baseada na função (I2C_DRV_MasterReceiveDataBlocking).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rtl w:val="0"/>
        </w:rPr>
        <w:t xml:space="preserve"> A ferramenta de Debug no qual podemos ver o seu funcionamento durante o vídeo é essencial não só para a visualização do resultado final, mas principalmente para o controle do fluxo de dados durante todo o desenvolvimento como também evidenciar as falhas de comunicação.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400040" cy="197231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com os retornos possíveis durante uma tentativa de comunicação no barramento/protocolo I2C.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B3F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B3F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99Js6cigqf3Eg6oFiwlyokAWiw==">AMUW2mXQB8SE/gdzKZMp5lLKWUjkPWEdjo2nMVXtEUZQedpLgPDdmI+J3iHhAqo8aKWrrmswTyHmSLiSfvhlOSk5mbg2CsFRxnDXPZW6bfE+h7rq6/91nRGwU2Y1QQ9s56Taxny037p0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2019-10-23T03:41:00Z</dcterms:created>
  <dc:creator>JOAO PAULO DOS SANTOS MENDES</dc:creator>
</cp:coreProperties>
</file>